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C402D" w14:textId="02175E80" w:rsidR="00796B57" w:rsidRPr="000A5998" w:rsidRDefault="004C7E9C" w:rsidP="000A5998">
      <w:pPr>
        <w:ind w:left="360"/>
        <w:jc w:val="both"/>
        <w:rPr>
          <w:rFonts w:asciiTheme="majorHAnsi" w:hAnsiTheme="majorHAnsi" w:cstheme="majorHAnsi"/>
          <w:b/>
          <w:bCs/>
        </w:rPr>
      </w:pPr>
      <w:r w:rsidRPr="000A5998">
        <w:rPr>
          <w:rFonts w:asciiTheme="majorHAnsi" w:hAnsiTheme="majorHAnsi" w:cstheme="majorHAnsi"/>
          <w:b/>
          <w:bCs/>
        </w:rPr>
        <w:t xml:space="preserve">Plenary session 2: Geopolitical Puppeteers: Identifying </w:t>
      </w:r>
      <w:r w:rsidR="00B60A5F" w:rsidRPr="000A5998">
        <w:rPr>
          <w:rFonts w:asciiTheme="majorHAnsi" w:hAnsiTheme="majorHAnsi" w:cstheme="majorHAnsi"/>
          <w:b/>
          <w:bCs/>
        </w:rPr>
        <w:t xml:space="preserve">the Roles of </w:t>
      </w:r>
      <w:r w:rsidRPr="000A5998">
        <w:rPr>
          <w:rFonts w:asciiTheme="majorHAnsi" w:hAnsiTheme="majorHAnsi" w:cstheme="majorHAnsi"/>
          <w:b/>
          <w:bCs/>
        </w:rPr>
        <w:t>Hidden Actors Shaping the Commercial Determinants o</w:t>
      </w:r>
      <w:r w:rsidR="000117D6" w:rsidRPr="000A5998">
        <w:rPr>
          <w:rFonts w:asciiTheme="majorHAnsi" w:hAnsiTheme="majorHAnsi" w:cstheme="majorHAnsi"/>
          <w:b/>
          <w:bCs/>
        </w:rPr>
        <w:t>f</w:t>
      </w:r>
      <w:r w:rsidRPr="000A5998">
        <w:rPr>
          <w:rFonts w:asciiTheme="majorHAnsi" w:hAnsiTheme="majorHAnsi" w:cstheme="majorHAnsi"/>
          <w:b/>
          <w:bCs/>
        </w:rPr>
        <w:t xml:space="preserve"> Global Health </w:t>
      </w:r>
    </w:p>
    <w:p w14:paraId="72E3D9A3" w14:textId="62E27923" w:rsidR="008351F9" w:rsidRPr="000A5998" w:rsidRDefault="008351F9" w:rsidP="000A5998">
      <w:pPr>
        <w:ind w:left="360"/>
        <w:jc w:val="both"/>
        <w:rPr>
          <w:rFonts w:asciiTheme="majorHAnsi" w:hAnsiTheme="majorHAnsi" w:cstheme="majorHAnsi"/>
          <w:b/>
          <w:bCs/>
        </w:rPr>
      </w:pPr>
      <w:r w:rsidRPr="000A5998">
        <w:rPr>
          <w:rFonts w:asciiTheme="majorHAnsi" w:hAnsiTheme="majorHAnsi" w:cstheme="majorHAnsi"/>
          <w:b/>
          <w:bCs/>
        </w:rPr>
        <w:t>Introduction</w:t>
      </w:r>
    </w:p>
    <w:p w14:paraId="0E37AE4B" w14:textId="1C6FAC2F" w:rsidR="004147B3" w:rsidRPr="004147B3" w:rsidRDefault="00E157E1" w:rsidP="004147B3">
      <w:pPr>
        <w:ind w:left="360"/>
        <w:jc w:val="both"/>
        <w:rPr>
          <w:rFonts w:asciiTheme="majorHAnsi" w:hAnsiTheme="majorHAnsi" w:cstheme="majorHAnsi"/>
          <w:lang w:val="en-US"/>
        </w:rPr>
      </w:pPr>
      <w:r w:rsidRPr="000A5998">
        <w:rPr>
          <w:rFonts w:asciiTheme="majorHAnsi" w:hAnsiTheme="majorHAnsi" w:cstheme="majorHAnsi"/>
          <w:shd w:val="clear" w:color="auto" w:fill="FFFFFF"/>
        </w:rPr>
        <w:t>Commercial determinants of health (</w:t>
      </w:r>
      <w:proofErr w:type="spellStart"/>
      <w:r w:rsidRPr="000A5998">
        <w:rPr>
          <w:rFonts w:asciiTheme="majorHAnsi" w:hAnsiTheme="majorHAnsi" w:cstheme="majorHAnsi"/>
          <w:shd w:val="clear" w:color="auto" w:fill="FFFFFF"/>
        </w:rPr>
        <w:t>CDoH</w:t>
      </w:r>
      <w:proofErr w:type="spellEnd"/>
      <w:r w:rsidRPr="000A5998">
        <w:rPr>
          <w:rFonts w:asciiTheme="majorHAnsi" w:hAnsiTheme="majorHAnsi" w:cstheme="majorHAnsi"/>
          <w:shd w:val="clear" w:color="auto" w:fill="FFFFFF"/>
        </w:rPr>
        <w:t>) refer</w:t>
      </w:r>
      <w:r w:rsidR="005B31D6" w:rsidRPr="000A5998">
        <w:rPr>
          <w:rFonts w:asciiTheme="majorHAnsi" w:hAnsiTheme="majorHAnsi" w:cstheme="majorHAnsi"/>
          <w:shd w:val="clear" w:color="auto" w:fill="FFFFFF"/>
        </w:rPr>
        <w:t>s</w:t>
      </w:r>
      <w:r w:rsidRPr="000A5998">
        <w:rPr>
          <w:rFonts w:asciiTheme="majorHAnsi" w:hAnsiTheme="majorHAnsi" w:cstheme="majorHAnsi"/>
          <w:shd w:val="clear" w:color="auto" w:fill="FFFFFF"/>
        </w:rPr>
        <w:t xml:space="preserve"> to </w:t>
      </w:r>
      <w:r w:rsidR="00646C13" w:rsidRPr="000A5998">
        <w:rPr>
          <w:rFonts w:asciiTheme="majorHAnsi" w:hAnsiTheme="majorHAnsi" w:cstheme="majorHAnsi"/>
          <w:shd w:val="clear" w:color="auto" w:fill="FFFFFF"/>
        </w:rPr>
        <w:t>“strategies and approaches used by the private sector to promote products and choices that are detrimental to health”</w:t>
      </w:r>
      <w:r w:rsidR="00646C13" w:rsidRPr="000A5998" w:rsidDel="00646C13">
        <w:rPr>
          <w:rFonts w:asciiTheme="majorHAnsi" w:hAnsiTheme="majorHAnsi" w:cstheme="majorHAnsi"/>
          <w:shd w:val="clear" w:color="auto" w:fill="FFFFFF"/>
        </w:rPr>
        <w:t xml:space="preserve"> </w:t>
      </w:r>
      <w:r w:rsidR="00CB62B9" w:rsidRPr="000A5998">
        <w:rPr>
          <w:rFonts w:asciiTheme="majorHAnsi" w:hAnsiTheme="majorHAnsi" w:cstheme="majorHAnsi"/>
          <w:shd w:val="clear" w:color="auto" w:fill="FFFFFF"/>
        </w:rPr>
        <w:t>(</w:t>
      </w:r>
      <w:r w:rsidR="002E7020">
        <w:rPr>
          <w:rFonts w:asciiTheme="majorHAnsi" w:hAnsiTheme="majorHAnsi" w:cstheme="majorHAnsi"/>
          <w:lang w:val="en-US"/>
        </w:rPr>
        <w:fldChar w:fldCharType="begin"/>
      </w:r>
      <w:r w:rsidR="002E7020">
        <w:rPr>
          <w:rFonts w:asciiTheme="majorHAnsi" w:hAnsiTheme="majorHAnsi" w:cstheme="majorHAnsi"/>
          <w:shd w:val="clear" w:color="auto" w:fill="FFFFFF"/>
        </w:rPr>
        <w:instrText xml:space="preserve"> REF _Ref143586423 \r \h </w:instrText>
      </w:r>
      <w:r w:rsidR="002E7020">
        <w:rPr>
          <w:rFonts w:asciiTheme="majorHAnsi" w:hAnsiTheme="majorHAnsi" w:cstheme="majorHAnsi"/>
          <w:lang w:val="en-US"/>
        </w:rPr>
      </w:r>
      <w:r w:rsidR="002E7020">
        <w:rPr>
          <w:rFonts w:asciiTheme="majorHAnsi" w:hAnsiTheme="majorHAnsi" w:cstheme="majorHAnsi"/>
          <w:lang w:val="en-US"/>
        </w:rPr>
        <w:fldChar w:fldCharType="separate"/>
      </w:r>
      <w:r w:rsidR="002E7020">
        <w:rPr>
          <w:rFonts w:asciiTheme="majorHAnsi" w:hAnsiTheme="majorHAnsi" w:cstheme="majorHAnsi"/>
          <w:shd w:val="clear" w:color="auto" w:fill="FFFFFF"/>
        </w:rPr>
        <w:t>1</w:t>
      </w:r>
      <w:r w:rsidR="002E7020">
        <w:rPr>
          <w:rFonts w:asciiTheme="majorHAnsi" w:hAnsiTheme="majorHAnsi" w:cstheme="majorHAnsi"/>
          <w:lang w:val="en-US"/>
        </w:rPr>
        <w:fldChar w:fldCharType="end"/>
      </w:r>
      <w:r w:rsidR="00CB62B9" w:rsidRPr="000A5998">
        <w:rPr>
          <w:rFonts w:asciiTheme="majorHAnsi" w:hAnsiTheme="majorHAnsi" w:cstheme="majorHAnsi"/>
          <w:shd w:val="clear" w:color="auto" w:fill="FFFFFF"/>
        </w:rPr>
        <w:t>).</w:t>
      </w:r>
      <w:r w:rsidR="009A6DD5" w:rsidRPr="000A5998">
        <w:rPr>
          <w:rFonts w:asciiTheme="majorHAnsi" w:hAnsiTheme="majorHAnsi" w:cstheme="majorHAnsi"/>
          <w:shd w:val="clear" w:color="auto" w:fill="FFFFFF"/>
        </w:rPr>
        <w:t xml:space="preserve"> </w:t>
      </w:r>
      <w:r w:rsidR="004F5EEE" w:rsidRPr="000A5998">
        <w:rPr>
          <w:rFonts w:asciiTheme="majorHAnsi" w:hAnsiTheme="majorHAnsi" w:cs="Browallia New"/>
          <w:szCs w:val="28"/>
          <w:shd w:val="clear" w:color="auto" w:fill="FFFFFF"/>
          <w:lang w:bidi="th-TH"/>
        </w:rPr>
        <w:t>It</w:t>
      </w:r>
      <w:r w:rsidR="00711F7B" w:rsidRPr="000A5998">
        <w:rPr>
          <w:rFonts w:asciiTheme="majorHAnsi" w:hAnsiTheme="majorHAnsi" w:cs="Browallia New"/>
          <w:szCs w:val="28"/>
          <w:shd w:val="clear" w:color="auto" w:fill="FFFFFF"/>
          <w:lang w:bidi="th-TH"/>
        </w:rPr>
        <w:t xml:space="preserve"> is </w:t>
      </w:r>
      <w:r w:rsidR="00711F7B" w:rsidRPr="000A5998">
        <w:rPr>
          <w:rFonts w:asciiTheme="majorHAnsi" w:hAnsiTheme="majorHAnsi" w:cstheme="majorHAnsi"/>
          <w:shd w:val="clear" w:color="auto" w:fill="FFFFFF"/>
        </w:rPr>
        <w:t>also</w:t>
      </w:r>
      <w:r w:rsidR="003230B1" w:rsidRPr="000A5998">
        <w:rPr>
          <w:rFonts w:asciiTheme="majorHAnsi" w:hAnsiTheme="majorHAnsi" w:cstheme="majorHAnsi"/>
          <w:shd w:val="clear" w:color="auto" w:fill="FFFFFF"/>
        </w:rPr>
        <w:t xml:space="preserve"> “the systems, practices, and pathways through which commercial actors drive health and equity” (</w:t>
      </w:r>
      <w:r w:rsidR="000854CF">
        <w:rPr>
          <w:rFonts w:asciiTheme="majorHAnsi" w:hAnsiTheme="majorHAnsi" w:cstheme="majorHAnsi"/>
          <w:shd w:val="clear" w:color="auto" w:fill="FFFFFF"/>
        </w:rPr>
        <w:fldChar w:fldCharType="begin"/>
      </w:r>
      <w:r w:rsidR="000854CF">
        <w:rPr>
          <w:rFonts w:asciiTheme="majorHAnsi" w:hAnsiTheme="majorHAnsi" w:cstheme="majorHAnsi"/>
          <w:shd w:val="clear" w:color="auto" w:fill="FFFFFF"/>
        </w:rPr>
        <w:instrText xml:space="preserve"> REF _Ref143586473 \r \h </w:instrText>
      </w:r>
      <w:r w:rsidR="000854CF">
        <w:rPr>
          <w:rFonts w:asciiTheme="majorHAnsi" w:hAnsiTheme="majorHAnsi" w:cstheme="majorHAnsi"/>
          <w:shd w:val="clear" w:color="auto" w:fill="FFFFFF"/>
        </w:rPr>
      </w:r>
      <w:r w:rsidR="000854CF">
        <w:rPr>
          <w:rFonts w:asciiTheme="majorHAnsi" w:hAnsiTheme="majorHAnsi" w:cstheme="majorHAnsi"/>
          <w:shd w:val="clear" w:color="auto" w:fill="FFFFFF"/>
        </w:rPr>
        <w:fldChar w:fldCharType="separate"/>
      </w:r>
      <w:r w:rsidR="000854CF">
        <w:rPr>
          <w:rFonts w:asciiTheme="majorHAnsi" w:hAnsiTheme="majorHAnsi" w:cstheme="majorHAnsi"/>
          <w:shd w:val="clear" w:color="auto" w:fill="FFFFFF"/>
        </w:rPr>
        <w:t>2</w:t>
      </w:r>
      <w:r w:rsidR="000854CF">
        <w:rPr>
          <w:rFonts w:asciiTheme="majorHAnsi" w:hAnsiTheme="majorHAnsi" w:cstheme="majorHAnsi"/>
          <w:shd w:val="clear" w:color="auto" w:fill="FFFFFF"/>
        </w:rPr>
        <w:fldChar w:fldCharType="end"/>
      </w:r>
      <w:r w:rsidR="003230B1" w:rsidRPr="000A5998">
        <w:rPr>
          <w:rFonts w:asciiTheme="majorHAnsi" w:hAnsiTheme="majorHAnsi" w:cstheme="majorHAnsi"/>
          <w:shd w:val="clear" w:color="auto" w:fill="FFFFFF"/>
        </w:rPr>
        <w:t xml:space="preserve">; </w:t>
      </w:r>
      <w:r w:rsidR="000854CF">
        <w:rPr>
          <w:rFonts w:asciiTheme="majorHAnsi" w:hAnsiTheme="majorHAnsi" w:cstheme="majorHAnsi"/>
          <w:shd w:val="clear" w:color="auto" w:fill="FFFFFF"/>
        </w:rPr>
        <w:fldChar w:fldCharType="begin"/>
      </w:r>
      <w:r w:rsidR="000854CF">
        <w:rPr>
          <w:rFonts w:asciiTheme="majorHAnsi" w:hAnsiTheme="majorHAnsi" w:cstheme="majorHAnsi"/>
          <w:shd w:val="clear" w:color="auto" w:fill="FFFFFF"/>
        </w:rPr>
        <w:instrText xml:space="preserve"> REF _Ref143586485 \r \h </w:instrText>
      </w:r>
      <w:r w:rsidR="000854CF">
        <w:rPr>
          <w:rFonts w:asciiTheme="majorHAnsi" w:hAnsiTheme="majorHAnsi" w:cstheme="majorHAnsi"/>
          <w:shd w:val="clear" w:color="auto" w:fill="FFFFFF"/>
        </w:rPr>
      </w:r>
      <w:r w:rsidR="000854CF">
        <w:rPr>
          <w:rFonts w:asciiTheme="majorHAnsi" w:hAnsiTheme="majorHAnsi" w:cstheme="majorHAnsi"/>
          <w:shd w:val="clear" w:color="auto" w:fill="FFFFFF"/>
        </w:rPr>
        <w:fldChar w:fldCharType="separate"/>
      </w:r>
      <w:r w:rsidR="000854CF">
        <w:rPr>
          <w:rFonts w:asciiTheme="majorHAnsi" w:hAnsiTheme="majorHAnsi" w:cstheme="majorHAnsi"/>
          <w:shd w:val="clear" w:color="auto" w:fill="FFFFFF"/>
        </w:rPr>
        <w:t>3</w:t>
      </w:r>
      <w:r w:rsidR="000854CF">
        <w:rPr>
          <w:rFonts w:asciiTheme="majorHAnsi" w:hAnsiTheme="majorHAnsi" w:cstheme="majorHAnsi"/>
          <w:shd w:val="clear" w:color="auto" w:fill="FFFFFF"/>
        </w:rPr>
        <w:fldChar w:fldCharType="end"/>
      </w:r>
      <w:r w:rsidR="003230B1" w:rsidRPr="000A5998">
        <w:rPr>
          <w:rFonts w:asciiTheme="majorHAnsi" w:hAnsiTheme="majorHAnsi" w:cstheme="majorHAnsi"/>
          <w:shd w:val="clear" w:color="auto" w:fill="FFFFFF"/>
        </w:rPr>
        <w:t xml:space="preserve">). </w:t>
      </w:r>
      <w:r w:rsidR="009A6DD5" w:rsidRPr="000A5998">
        <w:rPr>
          <w:rFonts w:asciiTheme="majorHAnsi" w:hAnsiTheme="majorHAnsi" w:cstheme="majorHAnsi"/>
          <w:shd w:val="clear" w:color="auto" w:fill="FFFFFF"/>
        </w:rPr>
        <w:t xml:space="preserve">The health impacts of </w:t>
      </w:r>
      <w:proofErr w:type="spellStart"/>
      <w:r w:rsidR="009A6DD5" w:rsidRPr="000A5998">
        <w:rPr>
          <w:rFonts w:asciiTheme="majorHAnsi" w:hAnsiTheme="majorHAnsi" w:cstheme="majorHAnsi"/>
          <w:shd w:val="clear" w:color="auto" w:fill="FFFFFF"/>
        </w:rPr>
        <w:t>CDoH</w:t>
      </w:r>
      <w:proofErr w:type="spellEnd"/>
      <w:r w:rsidR="009A6DD5" w:rsidRPr="000A5998">
        <w:rPr>
          <w:rFonts w:asciiTheme="majorHAnsi" w:hAnsiTheme="majorHAnsi" w:cstheme="majorHAnsi"/>
          <w:shd w:val="clear" w:color="auto" w:fill="FFFFFF"/>
        </w:rPr>
        <w:t xml:space="preserve"> are shaped by the ways in which the global economic and trade systems, global institutions and </w:t>
      </w:r>
      <w:r w:rsidR="00140742" w:rsidRPr="000A5998">
        <w:rPr>
          <w:rFonts w:asciiTheme="majorHAnsi" w:hAnsiTheme="majorHAnsi" w:cstheme="majorHAnsi"/>
          <w:shd w:val="clear" w:color="auto" w:fill="FFFFFF"/>
        </w:rPr>
        <w:t>powerful</w:t>
      </w:r>
      <w:r w:rsidR="009A6DD5" w:rsidRPr="000A5998">
        <w:rPr>
          <w:rFonts w:asciiTheme="majorHAnsi" w:hAnsiTheme="majorHAnsi" w:cstheme="majorHAnsi"/>
          <w:shd w:val="clear" w:color="auto" w:fill="FFFFFF"/>
        </w:rPr>
        <w:t xml:space="preserve"> countries enable adverse commercial activity</w:t>
      </w:r>
      <w:r w:rsidR="0045219C" w:rsidRPr="000A5998">
        <w:rPr>
          <w:rFonts w:asciiTheme="majorHAnsi" w:hAnsiTheme="majorHAnsi" w:cstheme="majorHAnsi"/>
          <w:shd w:val="clear" w:color="auto" w:fill="FFFFFF"/>
        </w:rPr>
        <w:t xml:space="preserve">, </w:t>
      </w:r>
      <w:r w:rsidR="0045219C" w:rsidRPr="000A5998">
        <w:rPr>
          <w:rFonts w:asciiTheme="majorHAnsi" w:hAnsiTheme="majorHAnsi" w:cstheme="majorHAnsi"/>
          <w:lang w:val="en-US"/>
        </w:rPr>
        <w:t xml:space="preserve">undermining </w:t>
      </w:r>
      <w:r w:rsidR="00F60671" w:rsidRPr="000A5998">
        <w:rPr>
          <w:rFonts w:asciiTheme="majorHAnsi" w:hAnsiTheme="majorHAnsi" w:cstheme="majorHAnsi"/>
          <w:lang w:val="en-US"/>
        </w:rPr>
        <w:t>“</w:t>
      </w:r>
      <w:r w:rsidR="00F60671" w:rsidRPr="000A5998">
        <w:rPr>
          <w:rFonts w:asciiTheme="majorHAnsi" w:hAnsiTheme="majorHAnsi" w:cstheme="majorHAnsi"/>
          <w:lang w:val="en-AU"/>
        </w:rPr>
        <w:t>public health policies, including WHO guidance, through lobbying, legal threats, ineffective self-regulation, distorting evidence, concealing their practices, and other actions” (</w:t>
      </w:r>
      <w:r w:rsidR="00825274">
        <w:rPr>
          <w:rFonts w:asciiTheme="majorHAnsi" w:hAnsiTheme="majorHAnsi" w:cstheme="majorHAnsi"/>
          <w:lang w:val="en-AU"/>
        </w:rPr>
        <w:fldChar w:fldCharType="begin"/>
      </w:r>
      <w:r w:rsidR="00825274">
        <w:rPr>
          <w:rFonts w:asciiTheme="majorHAnsi" w:hAnsiTheme="majorHAnsi" w:cstheme="majorHAnsi"/>
          <w:lang w:val="en-AU"/>
        </w:rPr>
        <w:instrText xml:space="preserve"> REF _Ref143586568 \r \h </w:instrText>
      </w:r>
      <w:r w:rsidR="00825274">
        <w:rPr>
          <w:rFonts w:asciiTheme="majorHAnsi" w:hAnsiTheme="majorHAnsi" w:cstheme="majorHAnsi"/>
          <w:lang w:val="en-AU"/>
        </w:rPr>
      </w:r>
      <w:r w:rsidR="00825274">
        <w:rPr>
          <w:rFonts w:asciiTheme="majorHAnsi" w:hAnsiTheme="majorHAnsi" w:cstheme="majorHAnsi"/>
          <w:lang w:val="en-AU"/>
        </w:rPr>
        <w:fldChar w:fldCharType="separate"/>
      </w:r>
      <w:r w:rsidR="00825274">
        <w:rPr>
          <w:rFonts w:asciiTheme="majorHAnsi" w:hAnsiTheme="majorHAnsi" w:cstheme="majorHAnsi"/>
          <w:lang w:val="en-AU"/>
        </w:rPr>
        <w:t>4</w:t>
      </w:r>
      <w:r w:rsidR="00825274">
        <w:rPr>
          <w:rFonts w:asciiTheme="majorHAnsi" w:hAnsiTheme="majorHAnsi" w:cstheme="majorHAnsi"/>
          <w:lang w:val="en-AU"/>
        </w:rPr>
        <w:fldChar w:fldCharType="end"/>
      </w:r>
      <w:r w:rsidR="00F60671" w:rsidRPr="000A5998">
        <w:rPr>
          <w:rFonts w:asciiTheme="majorHAnsi" w:hAnsiTheme="majorHAnsi" w:cstheme="majorHAnsi"/>
          <w:lang w:val="en-AU"/>
        </w:rPr>
        <w:t>).</w:t>
      </w:r>
      <w:r w:rsidR="00A3205E" w:rsidRPr="00D86BA9">
        <w:t xml:space="preserve"> </w:t>
      </w:r>
      <w:r w:rsidR="004147B3" w:rsidRPr="004147B3">
        <w:rPr>
          <w:rFonts w:asciiTheme="majorHAnsi" w:hAnsiTheme="majorHAnsi" w:cstheme="majorHAnsi"/>
          <w:lang w:val="en-US"/>
        </w:rPr>
        <w:t>The Lancet-University of Oslo Commission on Global Governance for Health links global governance challenges to health equity, echoing the Commer</w:t>
      </w:r>
      <w:r w:rsidR="00D86897">
        <w:rPr>
          <w:rFonts w:asciiTheme="majorHAnsi" w:hAnsiTheme="majorHAnsi" w:cstheme="majorHAnsi"/>
          <w:lang w:val="en-US"/>
        </w:rPr>
        <w:t>cial Determinants of Health (</w:t>
      </w:r>
      <w:proofErr w:type="spellStart"/>
      <w:r w:rsidR="00D86897">
        <w:rPr>
          <w:rFonts w:asciiTheme="majorHAnsi" w:hAnsiTheme="majorHAnsi" w:cstheme="majorHAnsi"/>
          <w:lang w:val="en-US"/>
        </w:rPr>
        <w:t>CDo</w:t>
      </w:r>
      <w:r w:rsidR="004147B3" w:rsidRPr="004147B3">
        <w:rPr>
          <w:rFonts w:asciiTheme="majorHAnsi" w:hAnsiTheme="majorHAnsi" w:cstheme="majorHAnsi"/>
          <w:lang w:val="en-US"/>
        </w:rPr>
        <w:t>H</w:t>
      </w:r>
      <w:proofErr w:type="spellEnd"/>
      <w:r w:rsidR="004147B3" w:rsidRPr="004147B3">
        <w:rPr>
          <w:rFonts w:asciiTheme="majorHAnsi" w:hAnsiTheme="majorHAnsi" w:cstheme="majorHAnsi"/>
          <w:lang w:val="en-US"/>
        </w:rPr>
        <w:t xml:space="preserve">) concept, where commercial goods impact health. This perspective reveals the interplay between global governance, </w:t>
      </w:r>
      <w:proofErr w:type="spellStart"/>
      <w:r w:rsidR="004147B3" w:rsidRPr="004147B3">
        <w:rPr>
          <w:rFonts w:asciiTheme="majorHAnsi" w:hAnsiTheme="majorHAnsi" w:cstheme="majorHAnsi"/>
          <w:lang w:val="en-US"/>
        </w:rPr>
        <w:t>CD</w:t>
      </w:r>
      <w:r w:rsidR="00D86897">
        <w:rPr>
          <w:rFonts w:asciiTheme="majorHAnsi" w:hAnsiTheme="majorHAnsi" w:cstheme="majorHAnsi"/>
          <w:lang w:val="en-US"/>
        </w:rPr>
        <w:t>o</w:t>
      </w:r>
      <w:r w:rsidR="004147B3" w:rsidRPr="004147B3">
        <w:rPr>
          <w:rFonts w:asciiTheme="majorHAnsi" w:hAnsiTheme="majorHAnsi" w:cstheme="majorHAnsi"/>
          <w:lang w:val="en-US"/>
        </w:rPr>
        <w:t>H</w:t>
      </w:r>
      <w:proofErr w:type="spellEnd"/>
      <w:r w:rsidR="004147B3" w:rsidRPr="004147B3">
        <w:rPr>
          <w:rFonts w:asciiTheme="majorHAnsi" w:hAnsiTheme="majorHAnsi" w:cstheme="majorHAnsi"/>
          <w:lang w:val="en-US"/>
        </w:rPr>
        <w:t>, and health inequities. The report aligns with health as a shared right and emphasizes addressing constraints</w:t>
      </w:r>
      <w:r w:rsidR="00B60CEB">
        <w:rPr>
          <w:rFonts w:asciiTheme="majorHAnsi" w:hAnsiTheme="majorHAnsi" w:cstheme="majorHAnsi"/>
          <w:lang w:val="en-US"/>
        </w:rPr>
        <w:t xml:space="preserve"> inhibiting health capabilities.</w:t>
      </w:r>
      <w:r w:rsidR="004147B3" w:rsidRPr="004147B3">
        <w:rPr>
          <w:rFonts w:asciiTheme="majorHAnsi" w:hAnsiTheme="majorHAnsi" w:cstheme="majorHAnsi"/>
          <w:lang w:val="en-US"/>
        </w:rPr>
        <w:t xml:space="preserve"> Acknowledging systemic dysfunctions in global governance, it mirrors the influence of multinational corporations on preventabl</w:t>
      </w:r>
      <w:r w:rsidR="00B60CEB">
        <w:rPr>
          <w:rFonts w:asciiTheme="majorHAnsi" w:hAnsiTheme="majorHAnsi" w:cstheme="majorHAnsi"/>
          <w:lang w:val="en-US"/>
        </w:rPr>
        <w:t>e health issues</w:t>
      </w:r>
      <w:r w:rsidR="004147B3" w:rsidRPr="004147B3">
        <w:rPr>
          <w:rFonts w:asciiTheme="majorHAnsi" w:hAnsiTheme="majorHAnsi" w:cstheme="majorHAnsi"/>
          <w:lang w:val="en-US"/>
        </w:rPr>
        <w:t>. Proposals for cross-sector collaboration echo the need to counteract commercial inter</w:t>
      </w:r>
      <w:r w:rsidR="00B60CEB">
        <w:rPr>
          <w:rFonts w:asciiTheme="majorHAnsi" w:hAnsiTheme="majorHAnsi" w:cstheme="majorHAnsi"/>
          <w:lang w:val="en-US"/>
        </w:rPr>
        <w:t>ests through collective action (</w:t>
      </w:r>
      <w:r w:rsidR="00D86897">
        <w:rPr>
          <w:rFonts w:asciiTheme="majorHAnsi" w:hAnsiTheme="majorHAnsi" w:cstheme="majorHAnsi"/>
          <w:lang w:val="en-US"/>
        </w:rPr>
        <w:fldChar w:fldCharType="begin"/>
      </w:r>
      <w:r w:rsidR="00D86897">
        <w:rPr>
          <w:rFonts w:asciiTheme="majorHAnsi" w:hAnsiTheme="majorHAnsi" w:cstheme="majorHAnsi"/>
          <w:lang w:val="en-US"/>
        </w:rPr>
        <w:instrText xml:space="preserve"> REF _Ref143586613 \r \h </w:instrText>
      </w:r>
      <w:r w:rsidR="00D86897">
        <w:rPr>
          <w:rFonts w:asciiTheme="majorHAnsi" w:hAnsiTheme="majorHAnsi" w:cstheme="majorHAnsi"/>
          <w:lang w:val="en-US"/>
        </w:rPr>
      </w:r>
      <w:r w:rsidR="00D86897">
        <w:rPr>
          <w:rFonts w:asciiTheme="majorHAnsi" w:hAnsiTheme="majorHAnsi" w:cstheme="majorHAnsi"/>
          <w:lang w:val="en-US"/>
        </w:rPr>
        <w:fldChar w:fldCharType="separate"/>
      </w:r>
      <w:r w:rsidR="00D86897">
        <w:rPr>
          <w:rFonts w:asciiTheme="majorHAnsi" w:hAnsiTheme="majorHAnsi" w:cstheme="majorHAnsi"/>
          <w:lang w:val="en-US"/>
        </w:rPr>
        <w:t>5</w:t>
      </w:r>
      <w:r w:rsidR="00D86897">
        <w:rPr>
          <w:rFonts w:asciiTheme="majorHAnsi" w:hAnsiTheme="majorHAnsi" w:cstheme="majorHAnsi"/>
          <w:lang w:val="en-US"/>
        </w:rPr>
        <w:fldChar w:fldCharType="end"/>
      </w:r>
      <w:r w:rsidR="00B60CEB" w:rsidRPr="002764F1">
        <w:rPr>
          <w:rFonts w:asciiTheme="majorHAnsi" w:hAnsiTheme="majorHAnsi" w:cstheme="majorHAnsi"/>
          <w:lang w:val="en-US"/>
        </w:rPr>
        <w:t>)</w:t>
      </w:r>
      <w:r w:rsidR="004147B3" w:rsidRPr="004147B3">
        <w:rPr>
          <w:rFonts w:asciiTheme="majorHAnsi" w:hAnsiTheme="majorHAnsi" w:cstheme="majorHAnsi"/>
          <w:lang w:val="en-US"/>
        </w:rPr>
        <w:t>.</w:t>
      </w:r>
    </w:p>
    <w:p w14:paraId="09261ABD" w14:textId="77777777" w:rsidR="004147B3" w:rsidRPr="004147B3" w:rsidRDefault="004147B3" w:rsidP="004147B3">
      <w:pPr>
        <w:ind w:left="360"/>
        <w:jc w:val="both"/>
        <w:rPr>
          <w:rFonts w:asciiTheme="majorHAnsi" w:hAnsiTheme="majorHAnsi" w:cstheme="majorHAnsi"/>
          <w:lang w:val="en-US"/>
        </w:rPr>
      </w:pPr>
    </w:p>
    <w:p w14:paraId="358C62C7" w14:textId="6B00ED39" w:rsidR="00BB1787" w:rsidRPr="000A5998" w:rsidRDefault="004147B3" w:rsidP="004147B3">
      <w:pPr>
        <w:ind w:left="360"/>
        <w:jc w:val="both"/>
        <w:rPr>
          <w:rFonts w:asciiTheme="majorHAnsi" w:hAnsiTheme="majorHAnsi" w:cstheme="majorHAnsi"/>
        </w:rPr>
      </w:pPr>
      <w:r w:rsidRPr="004147B3">
        <w:rPr>
          <w:rFonts w:asciiTheme="majorHAnsi" w:hAnsiTheme="majorHAnsi" w:cstheme="majorHAnsi"/>
          <w:lang w:val="en-US"/>
        </w:rPr>
        <w:t>Addressing long-term issues par</w:t>
      </w:r>
      <w:r w:rsidR="00C80811">
        <w:rPr>
          <w:rFonts w:asciiTheme="majorHAnsi" w:hAnsiTheme="majorHAnsi" w:cstheme="majorHAnsi"/>
          <w:lang w:val="en-US"/>
        </w:rPr>
        <w:t xml:space="preserve">allels the broader impact of </w:t>
      </w:r>
      <w:proofErr w:type="spellStart"/>
      <w:r w:rsidR="00C80811">
        <w:rPr>
          <w:rFonts w:asciiTheme="majorHAnsi" w:hAnsiTheme="majorHAnsi" w:cstheme="majorHAnsi"/>
          <w:lang w:val="en-US"/>
        </w:rPr>
        <w:t>CDo</w:t>
      </w:r>
      <w:r w:rsidRPr="004147B3">
        <w:rPr>
          <w:rFonts w:asciiTheme="majorHAnsi" w:hAnsiTheme="majorHAnsi" w:cstheme="majorHAnsi"/>
          <w:lang w:val="en-US"/>
        </w:rPr>
        <w:t>H</w:t>
      </w:r>
      <w:proofErr w:type="spellEnd"/>
      <w:r w:rsidRPr="004147B3">
        <w:rPr>
          <w:rFonts w:asciiTheme="majorHAnsi" w:hAnsiTheme="majorHAnsi" w:cstheme="majorHAnsi"/>
          <w:lang w:val="en-US"/>
        </w:rPr>
        <w:t>, extending across sectors</w:t>
      </w:r>
      <w:r w:rsidR="00643B24">
        <w:rPr>
          <w:rFonts w:asciiTheme="majorHAnsi" w:hAnsiTheme="majorHAnsi" w:cstheme="majorHAnsi"/>
          <w:lang w:val="en-US"/>
        </w:rPr>
        <w:t xml:space="preserve"> and affec</w:t>
      </w:r>
      <w:bookmarkStart w:id="0" w:name="_GoBack"/>
      <w:bookmarkEnd w:id="0"/>
      <w:r w:rsidR="00643B24">
        <w:rPr>
          <w:rFonts w:asciiTheme="majorHAnsi" w:hAnsiTheme="majorHAnsi" w:cstheme="majorHAnsi"/>
          <w:lang w:val="en-US"/>
        </w:rPr>
        <w:t xml:space="preserve">ting health outcomes. </w:t>
      </w:r>
      <w:r w:rsidRPr="004147B3">
        <w:rPr>
          <w:rFonts w:asciiTheme="majorHAnsi" w:hAnsiTheme="majorHAnsi" w:cstheme="majorHAnsi"/>
          <w:lang w:val="en-US"/>
        </w:rPr>
        <w:t>Balancing short-term priorities in global governance resonates with mitigatin</w:t>
      </w:r>
      <w:r w:rsidR="00D86897">
        <w:rPr>
          <w:rFonts w:asciiTheme="majorHAnsi" w:hAnsiTheme="majorHAnsi" w:cstheme="majorHAnsi"/>
          <w:lang w:val="en-US"/>
        </w:rPr>
        <w:t xml:space="preserve">g harmful commercial practices. </w:t>
      </w:r>
      <w:r w:rsidRPr="004147B3">
        <w:rPr>
          <w:rFonts w:asciiTheme="majorHAnsi" w:hAnsiTheme="majorHAnsi" w:cstheme="majorHAnsi"/>
          <w:lang w:val="en-US"/>
        </w:rPr>
        <w:t xml:space="preserve">The integration of health within larger goals aligns with </w:t>
      </w:r>
      <w:r w:rsidR="00C80811">
        <w:rPr>
          <w:rFonts w:asciiTheme="majorHAnsi" w:hAnsiTheme="majorHAnsi" w:cstheme="majorHAnsi"/>
          <w:lang w:val="en-US"/>
        </w:rPr>
        <w:t xml:space="preserve">recognizing </w:t>
      </w:r>
      <w:proofErr w:type="spellStart"/>
      <w:r w:rsidR="00C80811">
        <w:rPr>
          <w:rFonts w:asciiTheme="majorHAnsi" w:hAnsiTheme="majorHAnsi" w:cstheme="majorHAnsi"/>
          <w:lang w:val="en-US"/>
        </w:rPr>
        <w:t>CDo</w:t>
      </w:r>
      <w:r w:rsidRPr="004147B3">
        <w:rPr>
          <w:rFonts w:asciiTheme="majorHAnsi" w:hAnsiTheme="majorHAnsi" w:cstheme="majorHAnsi"/>
          <w:lang w:val="en-US"/>
        </w:rPr>
        <w:t>H's</w:t>
      </w:r>
      <w:proofErr w:type="spellEnd"/>
      <w:r w:rsidRPr="004147B3">
        <w:rPr>
          <w:rFonts w:asciiTheme="majorHAnsi" w:hAnsiTheme="majorHAnsi" w:cstheme="majorHAnsi"/>
          <w:lang w:val="en-US"/>
        </w:rPr>
        <w:t xml:space="preserve"> influence on global health and well-being (</w:t>
      </w:r>
      <w:r w:rsidR="00D86897">
        <w:rPr>
          <w:rFonts w:asciiTheme="majorHAnsi" w:hAnsiTheme="majorHAnsi" w:cstheme="majorHAnsi"/>
          <w:lang w:val="en-US"/>
        </w:rPr>
        <w:fldChar w:fldCharType="begin"/>
      </w:r>
      <w:r w:rsidR="00D86897">
        <w:rPr>
          <w:rFonts w:asciiTheme="majorHAnsi" w:hAnsiTheme="majorHAnsi" w:cstheme="majorHAnsi"/>
          <w:lang w:val="en-US"/>
        </w:rPr>
        <w:instrText xml:space="preserve"> REF _Ref143586613 \r \h </w:instrText>
      </w:r>
      <w:r w:rsidR="00D86897">
        <w:rPr>
          <w:rFonts w:asciiTheme="majorHAnsi" w:hAnsiTheme="majorHAnsi" w:cstheme="majorHAnsi"/>
          <w:lang w:val="en-US"/>
        </w:rPr>
      </w:r>
      <w:r w:rsidR="00D86897">
        <w:rPr>
          <w:rFonts w:asciiTheme="majorHAnsi" w:hAnsiTheme="majorHAnsi" w:cstheme="majorHAnsi"/>
          <w:lang w:val="en-US"/>
        </w:rPr>
        <w:fldChar w:fldCharType="separate"/>
      </w:r>
      <w:r w:rsidR="00D86897">
        <w:rPr>
          <w:rFonts w:asciiTheme="majorHAnsi" w:hAnsiTheme="majorHAnsi" w:cstheme="majorHAnsi"/>
          <w:lang w:val="en-US"/>
        </w:rPr>
        <w:t>5</w:t>
      </w:r>
      <w:r w:rsidR="00D86897">
        <w:rPr>
          <w:rFonts w:asciiTheme="majorHAnsi" w:hAnsiTheme="majorHAnsi" w:cstheme="majorHAnsi"/>
          <w:lang w:val="en-US"/>
        </w:rPr>
        <w:fldChar w:fldCharType="end"/>
      </w:r>
      <w:r w:rsidRPr="004147B3">
        <w:rPr>
          <w:rFonts w:asciiTheme="majorHAnsi" w:hAnsiTheme="majorHAnsi" w:cstheme="majorHAnsi"/>
          <w:lang w:val="en-US"/>
        </w:rPr>
        <w:t>). The report prompts interdisciplinary discussions and policy development, reflecting the ca</w:t>
      </w:r>
      <w:r w:rsidR="00C80811">
        <w:rPr>
          <w:rFonts w:asciiTheme="majorHAnsi" w:hAnsiTheme="majorHAnsi" w:cstheme="majorHAnsi"/>
          <w:lang w:val="en-US"/>
        </w:rPr>
        <w:t xml:space="preserve">ll to counteract </w:t>
      </w:r>
      <w:proofErr w:type="spellStart"/>
      <w:r w:rsidR="00C80811">
        <w:rPr>
          <w:rFonts w:asciiTheme="majorHAnsi" w:hAnsiTheme="majorHAnsi" w:cstheme="majorHAnsi"/>
          <w:lang w:val="en-US"/>
        </w:rPr>
        <w:t>CDoH's</w:t>
      </w:r>
      <w:proofErr w:type="spellEnd"/>
      <w:r w:rsidR="00C80811">
        <w:rPr>
          <w:rFonts w:asciiTheme="majorHAnsi" w:hAnsiTheme="majorHAnsi" w:cstheme="majorHAnsi"/>
          <w:lang w:val="en-US"/>
        </w:rPr>
        <w:t xml:space="preserve"> impact</w:t>
      </w:r>
      <w:r w:rsidRPr="004147B3">
        <w:rPr>
          <w:rFonts w:asciiTheme="majorHAnsi" w:hAnsiTheme="majorHAnsi" w:cstheme="majorHAnsi"/>
          <w:lang w:val="en-US"/>
        </w:rPr>
        <w:t>. Amid complex challenges, collaborative efforts among stakeholders are vital for addressing the evolving landscape (</w:t>
      </w:r>
      <w:r w:rsidR="003A0FAC">
        <w:rPr>
          <w:rFonts w:asciiTheme="majorHAnsi" w:hAnsiTheme="majorHAnsi" w:cstheme="majorHAnsi"/>
          <w:lang w:val="en-US"/>
        </w:rPr>
        <w:fldChar w:fldCharType="begin"/>
      </w:r>
      <w:r w:rsidR="003A0FAC">
        <w:rPr>
          <w:rFonts w:asciiTheme="majorHAnsi" w:hAnsiTheme="majorHAnsi" w:cstheme="majorHAnsi"/>
          <w:lang w:val="en-US"/>
        </w:rPr>
        <w:instrText xml:space="preserve"> REF _Ref143586568 \r \h </w:instrText>
      </w:r>
      <w:r w:rsidR="003A0FAC">
        <w:rPr>
          <w:rFonts w:asciiTheme="majorHAnsi" w:hAnsiTheme="majorHAnsi" w:cstheme="majorHAnsi"/>
          <w:lang w:val="en-US"/>
        </w:rPr>
      </w:r>
      <w:r w:rsidR="003A0FAC">
        <w:rPr>
          <w:rFonts w:asciiTheme="majorHAnsi" w:hAnsiTheme="majorHAnsi" w:cstheme="majorHAnsi"/>
          <w:lang w:val="en-US"/>
        </w:rPr>
        <w:fldChar w:fldCharType="separate"/>
      </w:r>
      <w:r w:rsidR="003A0FAC">
        <w:rPr>
          <w:rFonts w:asciiTheme="majorHAnsi" w:hAnsiTheme="majorHAnsi" w:cstheme="majorHAnsi"/>
          <w:lang w:val="en-US"/>
        </w:rPr>
        <w:t>4</w:t>
      </w:r>
      <w:r w:rsidR="003A0FAC">
        <w:rPr>
          <w:rFonts w:asciiTheme="majorHAnsi" w:hAnsiTheme="majorHAnsi" w:cstheme="majorHAnsi"/>
          <w:lang w:val="en-US"/>
        </w:rPr>
        <w:fldChar w:fldCharType="end"/>
      </w:r>
      <w:r w:rsidRPr="004147B3">
        <w:rPr>
          <w:rFonts w:asciiTheme="majorHAnsi" w:hAnsiTheme="majorHAnsi" w:cstheme="majorHAnsi"/>
          <w:lang w:val="en-US"/>
        </w:rPr>
        <w:t>;</w:t>
      </w:r>
      <w:r w:rsidR="003A0FAC">
        <w:rPr>
          <w:rFonts w:asciiTheme="majorHAnsi" w:hAnsiTheme="majorHAnsi" w:cstheme="majorHAnsi"/>
          <w:lang w:val="en-US"/>
        </w:rPr>
        <w:t xml:space="preserve"> </w:t>
      </w:r>
      <w:r w:rsidR="003A0FAC">
        <w:rPr>
          <w:rFonts w:asciiTheme="majorHAnsi" w:hAnsiTheme="majorHAnsi" w:cstheme="majorHAnsi"/>
          <w:lang w:val="en-US"/>
        </w:rPr>
        <w:fldChar w:fldCharType="begin"/>
      </w:r>
      <w:r w:rsidR="003A0FAC">
        <w:rPr>
          <w:rFonts w:asciiTheme="majorHAnsi" w:hAnsiTheme="majorHAnsi" w:cstheme="majorHAnsi"/>
          <w:lang w:val="en-US"/>
        </w:rPr>
        <w:instrText xml:space="preserve"> REF _Ref143586613 \r \h </w:instrText>
      </w:r>
      <w:r w:rsidR="003A0FAC">
        <w:rPr>
          <w:rFonts w:asciiTheme="majorHAnsi" w:hAnsiTheme="majorHAnsi" w:cstheme="majorHAnsi"/>
          <w:lang w:val="en-US"/>
        </w:rPr>
      </w:r>
      <w:r w:rsidR="003A0FAC">
        <w:rPr>
          <w:rFonts w:asciiTheme="majorHAnsi" w:hAnsiTheme="majorHAnsi" w:cstheme="majorHAnsi"/>
          <w:lang w:val="en-US"/>
        </w:rPr>
        <w:fldChar w:fldCharType="separate"/>
      </w:r>
      <w:r w:rsidR="003A0FAC">
        <w:rPr>
          <w:rFonts w:asciiTheme="majorHAnsi" w:hAnsiTheme="majorHAnsi" w:cstheme="majorHAnsi"/>
          <w:lang w:val="en-US"/>
        </w:rPr>
        <w:t>5</w:t>
      </w:r>
      <w:r w:rsidR="003A0FAC">
        <w:rPr>
          <w:rFonts w:asciiTheme="majorHAnsi" w:hAnsiTheme="majorHAnsi" w:cstheme="majorHAnsi"/>
          <w:lang w:val="en-US"/>
        </w:rPr>
        <w:fldChar w:fldCharType="end"/>
      </w:r>
      <w:r w:rsidRPr="004147B3">
        <w:rPr>
          <w:rFonts w:asciiTheme="majorHAnsi" w:hAnsiTheme="majorHAnsi" w:cstheme="majorHAnsi"/>
          <w:lang w:val="en-US"/>
        </w:rPr>
        <w:t>).</w:t>
      </w:r>
      <w:r w:rsidR="00AA0A8E" w:rsidRPr="000A5998">
        <w:rPr>
          <w:rFonts w:asciiTheme="majorHAnsi" w:hAnsiTheme="majorHAnsi" w:cstheme="majorHAnsi"/>
          <w:shd w:val="clear" w:color="auto" w:fill="FFFFFF"/>
        </w:rPr>
        <w:t xml:space="preserve"> </w:t>
      </w:r>
      <w:r w:rsidR="00BB1787" w:rsidRPr="000A5998">
        <w:rPr>
          <w:rFonts w:asciiTheme="majorHAnsi" w:hAnsiTheme="majorHAnsi" w:cstheme="majorHAnsi"/>
          <w:shd w:val="clear" w:color="auto" w:fill="FFFFFF"/>
        </w:rPr>
        <w:t xml:space="preserve">Addressing commercial determinants of health is vital in light of climate change, promising dual benefits for the environment and health. </w:t>
      </w:r>
      <w:r w:rsidR="00F47E7D" w:rsidRPr="000A5998">
        <w:rPr>
          <w:rFonts w:asciiTheme="majorHAnsi" w:hAnsiTheme="majorHAnsi" w:cstheme="majorHAnsi"/>
          <w:shd w:val="clear" w:color="auto" w:fill="FFFFFF"/>
        </w:rPr>
        <w:t>According to the EAT-</w:t>
      </w:r>
      <w:r w:rsidR="00BB1787" w:rsidRPr="000A5998">
        <w:rPr>
          <w:rFonts w:asciiTheme="majorHAnsi" w:hAnsiTheme="majorHAnsi" w:cstheme="majorHAnsi"/>
          <w:shd w:val="clear" w:color="auto" w:fill="FFFFFF"/>
        </w:rPr>
        <w:t xml:space="preserve"> Lancet Commission report, shifts towards consuming less sugar, salt, and saturated fat, and more plant-based foods can combat climate change and enhance health (</w:t>
      </w:r>
      <w:r w:rsidR="00D45948">
        <w:rPr>
          <w:rFonts w:asciiTheme="majorHAnsi" w:hAnsiTheme="majorHAnsi" w:cstheme="majorHAnsi"/>
          <w:shd w:val="clear" w:color="auto" w:fill="FFFFFF"/>
        </w:rPr>
        <w:fldChar w:fldCharType="begin"/>
      </w:r>
      <w:r w:rsidR="00D45948">
        <w:rPr>
          <w:rFonts w:asciiTheme="majorHAnsi" w:hAnsiTheme="majorHAnsi" w:cstheme="majorHAnsi"/>
          <w:shd w:val="clear" w:color="auto" w:fill="FFFFFF"/>
        </w:rPr>
        <w:instrText xml:space="preserve"> REF _Ref143587252 \r \h </w:instrText>
      </w:r>
      <w:r w:rsidR="00D45948">
        <w:rPr>
          <w:rFonts w:asciiTheme="majorHAnsi" w:hAnsiTheme="majorHAnsi" w:cstheme="majorHAnsi"/>
          <w:shd w:val="clear" w:color="auto" w:fill="FFFFFF"/>
        </w:rPr>
      </w:r>
      <w:r w:rsidR="00D45948">
        <w:rPr>
          <w:rFonts w:asciiTheme="majorHAnsi" w:hAnsiTheme="majorHAnsi" w:cstheme="majorHAnsi"/>
          <w:shd w:val="clear" w:color="auto" w:fill="FFFFFF"/>
        </w:rPr>
        <w:fldChar w:fldCharType="separate"/>
      </w:r>
      <w:r w:rsidR="00D45948">
        <w:rPr>
          <w:rFonts w:asciiTheme="majorHAnsi" w:hAnsiTheme="majorHAnsi" w:cstheme="majorHAnsi"/>
          <w:shd w:val="clear" w:color="auto" w:fill="FFFFFF"/>
        </w:rPr>
        <w:t>6</w:t>
      </w:r>
      <w:r w:rsidR="00D45948">
        <w:rPr>
          <w:rFonts w:asciiTheme="majorHAnsi" w:hAnsiTheme="majorHAnsi" w:cstheme="majorHAnsi"/>
          <w:shd w:val="clear" w:color="auto" w:fill="FFFFFF"/>
        </w:rPr>
        <w:fldChar w:fldCharType="end"/>
      </w:r>
      <w:r w:rsidR="00BB1787" w:rsidRPr="000A5998">
        <w:rPr>
          <w:rFonts w:asciiTheme="majorHAnsi" w:hAnsiTheme="majorHAnsi" w:cstheme="majorHAnsi"/>
          <w:shd w:val="clear" w:color="auto" w:fill="FFFFFF"/>
        </w:rPr>
        <w:t xml:space="preserve">). Advocating for sustainable, healthy food systems can mitigate climate impacts and contribute to a more sustainable future. The increasing climate damage as presented in the </w:t>
      </w:r>
      <w:r w:rsidR="00F47E7D" w:rsidRPr="000A5998">
        <w:rPr>
          <w:rFonts w:asciiTheme="majorHAnsi" w:hAnsiTheme="majorHAnsi" w:cstheme="majorHAnsi"/>
          <w:shd w:val="clear" w:color="auto" w:fill="FFFFFF"/>
        </w:rPr>
        <w:t xml:space="preserve">recent synthesis </w:t>
      </w:r>
      <w:r w:rsidR="00BB1787" w:rsidRPr="000A5998">
        <w:rPr>
          <w:rFonts w:asciiTheme="majorHAnsi" w:hAnsiTheme="majorHAnsi" w:cstheme="majorHAnsi"/>
          <w:shd w:val="clear" w:color="auto" w:fill="FFFFFF"/>
        </w:rPr>
        <w:t>IPCC report</w:t>
      </w:r>
      <w:r w:rsidR="00F47E7D" w:rsidRPr="000A5998">
        <w:rPr>
          <w:rFonts w:asciiTheme="majorHAnsi" w:hAnsiTheme="majorHAnsi" w:cstheme="majorHAnsi"/>
          <w:shd w:val="clear" w:color="auto" w:fill="FFFFFF"/>
        </w:rPr>
        <w:t xml:space="preserve"> (IPCC AR6 SYR from March 2023)</w:t>
      </w:r>
      <w:r w:rsidR="00BB1787" w:rsidRPr="000A5998">
        <w:rPr>
          <w:rFonts w:asciiTheme="majorHAnsi" w:hAnsiTheme="majorHAnsi" w:cstheme="majorHAnsi"/>
          <w:shd w:val="clear" w:color="auto" w:fill="FFFFFF"/>
        </w:rPr>
        <w:t xml:space="preserve"> accentuates the urgency of this action.</w:t>
      </w:r>
    </w:p>
    <w:p w14:paraId="2462CEC1" w14:textId="77777777" w:rsidR="00BB1787" w:rsidRPr="000A5998" w:rsidRDefault="00BB1787" w:rsidP="000A5998">
      <w:pPr>
        <w:ind w:left="360"/>
        <w:rPr>
          <w:rFonts w:asciiTheme="majorHAnsi" w:hAnsiTheme="majorHAnsi"/>
        </w:rPr>
      </w:pPr>
      <w:r w:rsidRPr="00D86BA9">
        <w:rPr>
          <w:noProof/>
          <w:lang w:val="en-US" w:bidi="th-TH"/>
        </w:rPr>
        <w:lastRenderedPageBreak/>
        <w:drawing>
          <wp:inline distT="0" distB="0" distL="0" distR="0" wp14:anchorId="5E603E30" wp14:editId="2D3E9B78">
            <wp:extent cx="5731510" cy="3523419"/>
            <wp:effectExtent l="0" t="0" r="2540" b="1270"/>
            <wp:docPr id="2" name="Picture 2" descr="Heat map shows how temperatures have changed and what they look like under different scenarios going fo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 map shows how temperatures have changed and what they look like under different scenarios going fow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523419"/>
                    </a:xfrm>
                    <a:prstGeom prst="rect">
                      <a:avLst/>
                    </a:prstGeom>
                    <a:noFill/>
                    <a:ln>
                      <a:noFill/>
                    </a:ln>
                  </pic:spPr>
                </pic:pic>
              </a:graphicData>
            </a:graphic>
          </wp:inline>
        </w:drawing>
      </w:r>
    </w:p>
    <w:p w14:paraId="7DA281F3" w14:textId="25B3429D" w:rsidR="00BB1787" w:rsidRPr="000A5998" w:rsidRDefault="00BB1787" w:rsidP="000A5998">
      <w:pPr>
        <w:ind w:left="360"/>
        <w:rPr>
          <w:rFonts w:asciiTheme="majorHAnsi" w:hAnsiTheme="majorHAnsi"/>
          <w:sz w:val="16"/>
          <w:szCs w:val="16"/>
        </w:rPr>
      </w:pPr>
      <w:proofErr w:type="gramStart"/>
      <w:r w:rsidRPr="000A5998">
        <w:rPr>
          <w:rFonts w:asciiTheme="majorHAnsi" w:hAnsiTheme="majorHAnsi"/>
          <w:sz w:val="16"/>
          <w:szCs w:val="16"/>
        </w:rPr>
        <w:t>figure</w:t>
      </w:r>
      <w:proofErr w:type="gramEnd"/>
      <w:r w:rsidRPr="000A5998">
        <w:rPr>
          <w:rFonts w:asciiTheme="majorHAnsi" w:hAnsiTheme="majorHAnsi"/>
          <w:sz w:val="16"/>
          <w:szCs w:val="16"/>
        </w:rPr>
        <w:t xml:space="preserve"> 1: Climate damage is worsening faster than expected, but there’s still reason for optimism (IPCC</w:t>
      </w:r>
      <w:r w:rsidR="00F47E7D" w:rsidRPr="000A5998">
        <w:rPr>
          <w:rFonts w:asciiTheme="majorHAnsi" w:hAnsiTheme="majorHAnsi"/>
          <w:sz w:val="16"/>
          <w:szCs w:val="16"/>
        </w:rPr>
        <w:t xml:space="preserve"> AR6, SYR</w:t>
      </w:r>
      <w:r w:rsidRPr="000A5998">
        <w:rPr>
          <w:rFonts w:asciiTheme="majorHAnsi" w:hAnsiTheme="majorHAnsi"/>
          <w:sz w:val="16"/>
          <w:szCs w:val="16"/>
        </w:rPr>
        <w:t>, 202</w:t>
      </w:r>
      <w:r w:rsidR="00F47E7D" w:rsidRPr="000A5998">
        <w:rPr>
          <w:rFonts w:asciiTheme="majorHAnsi" w:hAnsiTheme="majorHAnsi"/>
          <w:sz w:val="16"/>
          <w:szCs w:val="16"/>
        </w:rPr>
        <w:t>3</w:t>
      </w:r>
      <w:r w:rsidRPr="000A5998">
        <w:rPr>
          <w:rFonts w:asciiTheme="majorHAnsi" w:hAnsiTheme="majorHAnsi"/>
          <w:sz w:val="16"/>
          <w:szCs w:val="16"/>
        </w:rPr>
        <w:t>).</w:t>
      </w:r>
    </w:p>
    <w:p w14:paraId="125D67C6" w14:textId="77777777" w:rsidR="00BB1787" w:rsidRPr="00D86BA9" w:rsidRDefault="00BB1787" w:rsidP="000A5998">
      <w:pPr>
        <w:pStyle w:val="ListParagraph"/>
        <w:jc w:val="both"/>
        <w:rPr>
          <w:rFonts w:asciiTheme="majorHAnsi" w:hAnsiTheme="majorHAnsi" w:cstheme="majorHAnsi"/>
        </w:rPr>
      </w:pPr>
    </w:p>
    <w:p w14:paraId="2C50A2AB" w14:textId="57466914" w:rsidR="00AA0A8E" w:rsidRPr="000A5998" w:rsidRDefault="00AA0A8E" w:rsidP="000A5998">
      <w:pPr>
        <w:ind w:left="360"/>
        <w:jc w:val="both"/>
        <w:rPr>
          <w:rFonts w:asciiTheme="majorHAnsi" w:hAnsiTheme="majorHAnsi" w:cstheme="majorHAnsi"/>
        </w:rPr>
      </w:pPr>
      <w:r w:rsidRPr="000A5998">
        <w:rPr>
          <w:rFonts w:asciiTheme="majorHAnsi" w:hAnsiTheme="majorHAnsi" w:cstheme="majorHAnsi"/>
        </w:rPr>
        <w:t xml:space="preserve">There is an urgent need for action on </w:t>
      </w:r>
      <w:r w:rsidR="00CF3AD7" w:rsidRPr="000A5998">
        <w:rPr>
          <w:rFonts w:asciiTheme="majorHAnsi" w:hAnsiTheme="majorHAnsi" w:cstheme="majorHAnsi"/>
        </w:rPr>
        <w:t>countering</w:t>
      </w:r>
      <w:r w:rsidRPr="000A5998">
        <w:rPr>
          <w:rFonts w:asciiTheme="majorHAnsi" w:hAnsiTheme="majorHAnsi" w:cstheme="majorHAnsi"/>
        </w:rPr>
        <w:t xml:space="preserve"> the </w:t>
      </w:r>
      <w:proofErr w:type="spellStart"/>
      <w:r w:rsidR="00134DF0" w:rsidRPr="000A5998">
        <w:rPr>
          <w:rFonts w:asciiTheme="majorHAnsi" w:hAnsiTheme="majorHAnsi" w:cstheme="majorHAnsi"/>
        </w:rPr>
        <w:t>CDoH</w:t>
      </w:r>
      <w:proofErr w:type="spellEnd"/>
      <w:r w:rsidRPr="000A5998">
        <w:rPr>
          <w:rFonts w:asciiTheme="majorHAnsi" w:hAnsiTheme="majorHAnsi" w:cstheme="majorHAnsi"/>
        </w:rPr>
        <w:t xml:space="preserve"> at the global level and within countries to ensure health and health equity. These actions should include rebalancing power asymmetries, strengthening multi-level governance that puts people before profits, transformative change in economic and political systems, international and domestic policy and frameworks and str</w:t>
      </w:r>
      <w:r w:rsidR="00D45948">
        <w:rPr>
          <w:rFonts w:asciiTheme="majorHAnsi" w:hAnsiTheme="majorHAnsi" w:cstheme="majorHAnsi"/>
        </w:rPr>
        <w:t>ong civil society mobilisation</w:t>
      </w:r>
      <w:r w:rsidRPr="000A5998">
        <w:rPr>
          <w:rFonts w:asciiTheme="majorHAnsi" w:hAnsiTheme="majorHAnsi" w:cstheme="majorHAnsi"/>
        </w:rPr>
        <w:t xml:space="preserve">. </w:t>
      </w:r>
      <w:r w:rsidR="00F7463A">
        <w:rPr>
          <w:rFonts w:asciiTheme="majorHAnsi" w:hAnsiTheme="majorHAnsi" w:cstheme="majorHAnsi"/>
        </w:rPr>
        <w:t>One of the most</w:t>
      </w:r>
      <w:r w:rsidR="00114A05">
        <w:rPr>
          <w:rFonts w:asciiTheme="majorHAnsi" w:hAnsiTheme="majorHAnsi" w:cstheme="majorHAnsi"/>
        </w:rPr>
        <w:t xml:space="preserve"> geopolitical tensions, t</w:t>
      </w:r>
      <w:r w:rsidR="00C47153" w:rsidRPr="00C47153">
        <w:rPr>
          <w:rFonts w:asciiTheme="majorHAnsi" w:hAnsiTheme="majorHAnsi" w:cstheme="majorHAnsi"/>
        </w:rPr>
        <w:t>he historical arms race</w:t>
      </w:r>
      <w:r w:rsidR="005B1F3A">
        <w:rPr>
          <w:rFonts w:asciiTheme="majorHAnsi" w:hAnsiTheme="majorHAnsi" w:cstheme="majorHAnsi"/>
        </w:rPr>
        <w:t>, it</w:t>
      </w:r>
      <w:r w:rsidR="00C47153" w:rsidRPr="00C47153">
        <w:rPr>
          <w:rFonts w:asciiTheme="majorHAnsi" w:hAnsiTheme="majorHAnsi" w:cstheme="majorHAnsi"/>
        </w:rPr>
        <w:t xml:space="preserve"> profoundly impacts both health determinants. The competitive accumulation of military weaponry globally intersects with commercial interests, shaping conflicts and influencing health outcomes. This dynamic reveals the intricate relationship between arms production, international trade, and geopolitical dynamics, with implications for public health on a global scale.</w:t>
      </w:r>
    </w:p>
    <w:p w14:paraId="4BB1F0B2" w14:textId="77777777" w:rsidR="00626D3F" w:rsidRPr="00D86BA9" w:rsidRDefault="00626D3F" w:rsidP="000A5998">
      <w:pPr>
        <w:jc w:val="both"/>
        <w:rPr>
          <w:rFonts w:asciiTheme="majorHAnsi" w:hAnsiTheme="majorHAnsi" w:cstheme="majorHAnsi"/>
        </w:rPr>
      </w:pPr>
    </w:p>
    <w:p w14:paraId="615DFE11" w14:textId="6E036AEF" w:rsidR="00C554C7" w:rsidRPr="000A5998" w:rsidRDefault="004D1FCB" w:rsidP="000A5998">
      <w:pPr>
        <w:ind w:left="360"/>
        <w:jc w:val="both"/>
        <w:rPr>
          <w:rFonts w:asciiTheme="majorHAnsi" w:hAnsiTheme="majorHAnsi" w:cstheme="majorHAnsi"/>
          <w:shd w:val="clear" w:color="auto" w:fill="FFFFFF"/>
        </w:rPr>
      </w:pPr>
      <w:r w:rsidRPr="000A5998">
        <w:rPr>
          <w:rFonts w:asciiTheme="majorHAnsi" w:hAnsiTheme="majorHAnsi" w:cstheme="majorHAnsi"/>
          <w:shd w:val="clear" w:color="auto" w:fill="FFFFFF"/>
        </w:rPr>
        <w:t>S</w:t>
      </w:r>
      <w:r w:rsidR="000240F9" w:rsidRPr="000A5998">
        <w:rPr>
          <w:rFonts w:asciiTheme="majorHAnsi" w:hAnsiTheme="majorHAnsi" w:cstheme="majorHAnsi"/>
          <w:shd w:val="clear" w:color="auto" w:fill="FFFFFF"/>
        </w:rPr>
        <w:t>ub-theme</w:t>
      </w:r>
      <w:r w:rsidR="005316F7" w:rsidRPr="000A5998">
        <w:rPr>
          <w:rFonts w:asciiTheme="majorHAnsi" w:hAnsiTheme="majorHAnsi" w:cstheme="majorHAnsi"/>
          <w:shd w:val="clear" w:color="auto" w:fill="FFFFFF"/>
        </w:rPr>
        <w:t xml:space="preserve"> </w:t>
      </w:r>
      <w:r w:rsidRPr="000A5998">
        <w:rPr>
          <w:rFonts w:asciiTheme="majorHAnsi" w:hAnsiTheme="majorHAnsi" w:cstheme="majorHAnsi"/>
          <w:shd w:val="clear" w:color="auto" w:fill="FFFFFF"/>
        </w:rPr>
        <w:t xml:space="preserve">2 </w:t>
      </w:r>
      <w:r w:rsidR="005316F7" w:rsidRPr="000A5998">
        <w:rPr>
          <w:rFonts w:asciiTheme="majorHAnsi" w:hAnsiTheme="majorHAnsi" w:cstheme="majorHAnsi"/>
          <w:shd w:val="clear" w:color="auto" w:fill="FFFFFF"/>
        </w:rPr>
        <w:t>aims to</w:t>
      </w:r>
      <w:r w:rsidR="000B10CE" w:rsidRPr="000A5998">
        <w:rPr>
          <w:rFonts w:asciiTheme="majorHAnsi" w:hAnsiTheme="majorHAnsi" w:cstheme="majorHAnsi"/>
          <w:shd w:val="clear" w:color="auto" w:fill="FFFFFF"/>
        </w:rPr>
        <w:t xml:space="preserve"> discuss </w:t>
      </w:r>
      <w:r w:rsidR="00250BBA" w:rsidRPr="000A5998">
        <w:rPr>
          <w:rFonts w:asciiTheme="majorHAnsi" w:hAnsiTheme="majorHAnsi" w:cstheme="majorHAnsi"/>
          <w:shd w:val="clear" w:color="auto" w:fill="FFFFFF"/>
        </w:rPr>
        <w:t>a</w:t>
      </w:r>
      <w:r w:rsidR="000B10CE" w:rsidRPr="000A5998">
        <w:rPr>
          <w:rFonts w:asciiTheme="majorHAnsi" w:hAnsiTheme="majorHAnsi" w:cstheme="majorHAnsi"/>
          <w:shd w:val="clear" w:color="auto" w:fill="FFFFFF"/>
        </w:rPr>
        <w:t xml:space="preserve"> way forward</w:t>
      </w:r>
      <w:r w:rsidR="002E69D5" w:rsidRPr="000A5998">
        <w:rPr>
          <w:rFonts w:asciiTheme="majorHAnsi" w:hAnsiTheme="majorHAnsi" w:cstheme="majorHAnsi"/>
          <w:shd w:val="clear" w:color="auto" w:fill="FFFFFF"/>
        </w:rPr>
        <w:t xml:space="preserve"> by exploring strategies and approaches that mitigate the harmful effects of </w:t>
      </w:r>
      <w:proofErr w:type="spellStart"/>
      <w:r w:rsidR="002E69D5" w:rsidRPr="000A5998">
        <w:rPr>
          <w:rFonts w:asciiTheme="majorHAnsi" w:hAnsiTheme="majorHAnsi" w:cstheme="majorHAnsi"/>
          <w:shd w:val="clear" w:color="auto" w:fill="FFFFFF"/>
        </w:rPr>
        <w:t>CDoH</w:t>
      </w:r>
      <w:proofErr w:type="spellEnd"/>
      <w:r w:rsidR="00C63403" w:rsidRPr="000A5998">
        <w:rPr>
          <w:rFonts w:asciiTheme="majorHAnsi" w:hAnsiTheme="majorHAnsi" w:cstheme="majorHAnsi"/>
          <w:shd w:val="clear" w:color="auto" w:fill="FFFFFF"/>
        </w:rPr>
        <w:t xml:space="preserve"> on health and instead channel their influence towards promoting fairness, equality, and the overall well-being of individuals and the planet. This requires considering geopolitical considerations and developing policies and interventions that reshape the commercial sector's practices to prioritize health and social equity.</w:t>
      </w:r>
      <w:r w:rsidR="002E69D5" w:rsidRPr="000A5998">
        <w:rPr>
          <w:rFonts w:asciiTheme="majorHAnsi" w:hAnsiTheme="majorHAnsi" w:cstheme="majorHAnsi"/>
          <w:shd w:val="clear" w:color="auto" w:fill="FFFFFF"/>
        </w:rPr>
        <w:t xml:space="preserve"> </w:t>
      </w:r>
      <w:r w:rsidR="00283760" w:rsidRPr="000A5998">
        <w:rPr>
          <w:rFonts w:asciiTheme="majorHAnsi" w:hAnsiTheme="majorHAnsi"/>
        </w:rPr>
        <w:t>The future directions should emphasize the need for a multi-faceted approach that addresses the complex and interconnected factors that contribute to commercial determinants of health.</w:t>
      </w:r>
      <w:r w:rsidR="00283760" w:rsidRPr="000A5998">
        <w:rPr>
          <w:rFonts w:asciiTheme="majorHAnsi" w:hAnsiTheme="majorHAnsi" w:cstheme="majorHAnsi"/>
          <w:shd w:val="clear" w:color="auto" w:fill="FFFFFF"/>
        </w:rPr>
        <w:t xml:space="preserve"> The governments should regulate </w:t>
      </w:r>
      <w:r w:rsidR="00B871DB" w:rsidRPr="000A5998">
        <w:rPr>
          <w:rFonts w:asciiTheme="majorHAnsi" w:hAnsiTheme="majorHAnsi" w:cstheme="majorHAnsi"/>
          <w:shd w:val="clear" w:color="auto" w:fill="FFFFFF"/>
        </w:rPr>
        <w:t xml:space="preserve">and limit </w:t>
      </w:r>
      <w:r w:rsidR="00283760" w:rsidRPr="000A5998">
        <w:rPr>
          <w:rFonts w:asciiTheme="majorHAnsi" w:hAnsiTheme="majorHAnsi" w:cstheme="majorHAnsi"/>
          <w:shd w:val="clear" w:color="auto" w:fill="FFFFFF"/>
        </w:rPr>
        <w:t>commercial practices that harm public health, support practices that promote health, and promote health literacy and consumer awareness. Additionally, the need to address commercial determinants of health in conjunction with social determinants of health and promote health equity</w:t>
      </w:r>
      <w:r w:rsidR="00A8264E" w:rsidRPr="000A5998">
        <w:rPr>
          <w:rFonts w:asciiTheme="majorHAnsi" w:hAnsiTheme="majorHAnsi" w:cstheme="majorHAnsi"/>
          <w:shd w:val="clear" w:color="auto" w:fill="FFFFFF"/>
        </w:rPr>
        <w:t xml:space="preserve"> is crucial</w:t>
      </w:r>
      <w:r w:rsidR="00A8264E" w:rsidRPr="000A5998">
        <w:rPr>
          <w:rFonts w:asciiTheme="majorHAnsi" w:hAnsiTheme="majorHAnsi"/>
        </w:rPr>
        <w:t xml:space="preserve"> </w:t>
      </w:r>
      <w:r w:rsidR="00A8264E" w:rsidRPr="000A5998">
        <w:rPr>
          <w:rFonts w:asciiTheme="majorHAnsi" w:hAnsiTheme="majorHAnsi" w:cstheme="majorHAnsi"/>
          <w:shd w:val="clear" w:color="auto" w:fill="FFFFFF"/>
        </w:rPr>
        <w:t>(</w:t>
      </w:r>
      <w:r w:rsidR="00D45948">
        <w:rPr>
          <w:rFonts w:asciiTheme="majorHAnsi" w:hAnsiTheme="majorHAnsi" w:cstheme="majorHAnsi"/>
          <w:shd w:val="clear" w:color="auto" w:fill="FFFFFF"/>
        </w:rPr>
        <w:fldChar w:fldCharType="begin"/>
      </w:r>
      <w:r w:rsidR="00D45948">
        <w:rPr>
          <w:rFonts w:asciiTheme="majorHAnsi" w:hAnsiTheme="majorHAnsi" w:cstheme="majorHAnsi"/>
          <w:shd w:val="clear" w:color="auto" w:fill="FFFFFF"/>
        </w:rPr>
        <w:instrText xml:space="preserve"> REF _Ref143587308 \r \h </w:instrText>
      </w:r>
      <w:r w:rsidR="00D45948">
        <w:rPr>
          <w:rFonts w:asciiTheme="majorHAnsi" w:hAnsiTheme="majorHAnsi" w:cstheme="majorHAnsi"/>
          <w:shd w:val="clear" w:color="auto" w:fill="FFFFFF"/>
        </w:rPr>
      </w:r>
      <w:r w:rsidR="00D45948">
        <w:rPr>
          <w:rFonts w:asciiTheme="majorHAnsi" w:hAnsiTheme="majorHAnsi" w:cstheme="majorHAnsi"/>
          <w:shd w:val="clear" w:color="auto" w:fill="FFFFFF"/>
        </w:rPr>
        <w:fldChar w:fldCharType="separate"/>
      </w:r>
      <w:r w:rsidR="00D45948">
        <w:rPr>
          <w:rFonts w:asciiTheme="majorHAnsi" w:hAnsiTheme="majorHAnsi" w:cstheme="majorHAnsi"/>
          <w:shd w:val="clear" w:color="auto" w:fill="FFFFFF"/>
        </w:rPr>
        <w:t>7</w:t>
      </w:r>
      <w:r w:rsidR="00D45948">
        <w:rPr>
          <w:rFonts w:asciiTheme="majorHAnsi" w:hAnsiTheme="majorHAnsi" w:cstheme="majorHAnsi"/>
          <w:shd w:val="clear" w:color="auto" w:fill="FFFFFF"/>
        </w:rPr>
        <w:fldChar w:fldCharType="end"/>
      </w:r>
      <w:r w:rsidR="00A8264E" w:rsidRPr="000A5998">
        <w:rPr>
          <w:rFonts w:asciiTheme="majorHAnsi" w:hAnsiTheme="majorHAnsi" w:cstheme="majorHAnsi"/>
          <w:shd w:val="clear" w:color="auto" w:fill="FFFFFF"/>
        </w:rPr>
        <w:t>)</w:t>
      </w:r>
      <w:r w:rsidR="00283760" w:rsidRPr="000A5998">
        <w:rPr>
          <w:rFonts w:asciiTheme="majorHAnsi" w:hAnsiTheme="majorHAnsi" w:cstheme="majorHAnsi"/>
          <w:shd w:val="clear" w:color="auto" w:fill="FFFFFF"/>
        </w:rPr>
        <w:t xml:space="preserve">. </w:t>
      </w:r>
      <w:r w:rsidR="00B819E7">
        <w:rPr>
          <w:rFonts w:asciiTheme="majorHAnsi" w:hAnsiTheme="majorHAnsi" w:cstheme="majorHAnsi"/>
          <w:shd w:val="clear" w:color="auto" w:fill="FFFFFF"/>
        </w:rPr>
        <w:t>The session also needs to address t</w:t>
      </w:r>
      <w:r w:rsidR="00B819E7" w:rsidRPr="00B819E7">
        <w:rPr>
          <w:rFonts w:asciiTheme="majorHAnsi" w:hAnsiTheme="majorHAnsi" w:cstheme="majorHAnsi"/>
          <w:shd w:val="clear" w:color="auto" w:fill="FFFFFF"/>
        </w:rPr>
        <w:t xml:space="preserve">he banking sector plays a pivotal role in loaning to industries that have significant implications for commercial determinants of health, encompassing sectors such as fossil fuels, artificial intelligence (AI), beverage and food, and the </w:t>
      </w:r>
      <w:r w:rsidR="00B819E7" w:rsidRPr="00B819E7">
        <w:rPr>
          <w:rFonts w:asciiTheme="majorHAnsi" w:hAnsiTheme="majorHAnsi" w:cstheme="majorHAnsi"/>
          <w:shd w:val="clear" w:color="auto" w:fill="FFFFFF"/>
        </w:rPr>
        <w:lastRenderedPageBreak/>
        <w:t>arms industry. These financial activities have complex ties to geopolitics and can exert profound effects on public health outcomes.</w:t>
      </w:r>
    </w:p>
    <w:p w14:paraId="230B0A1F" w14:textId="710F8621" w:rsidR="007669DB" w:rsidRPr="000A5998" w:rsidRDefault="00E03209" w:rsidP="000A5998">
      <w:pPr>
        <w:ind w:left="360"/>
        <w:jc w:val="both"/>
        <w:rPr>
          <w:rFonts w:asciiTheme="majorHAnsi" w:hAnsiTheme="majorHAnsi" w:cstheme="majorHAnsi"/>
          <w:shd w:val="clear" w:color="auto" w:fill="FFFFFF"/>
        </w:rPr>
      </w:pPr>
      <w:r w:rsidRPr="000A5998">
        <w:rPr>
          <w:rFonts w:asciiTheme="majorHAnsi" w:hAnsiTheme="majorHAnsi" w:cstheme="majorHAnsi"/>
          <w:shd w:val="clear" w:color="auto" w:fill="FFFFFF"/>
        </w:rPr>
        <w:t xml:space="preserve">Plenary 2 will </w:t>
      </w:r>
      <w:r w:rsidR="00520AB8" w:rsidRPr="000A5998">
        <w:rPr>
          <w:rFonts w:asciiTheme="majorHAnsi" w:hAnsiTheme="majorHAnsi" w:cstheme="majorHAnsi"/>
          <w:shd w:val="clear" w:color="auto" w:fill="FFFFFF"/>
        </w:rPr>
        <w:t xml:space="preserve">identify hidden entities influencing global health, such as </w:t>
      </w:r>
      <w:proofErr w:type="gramStart"/>
      <w:r w:rsidR="00520AB8" w:rsidRPr="000A5998">
        <w:rPr>
          <w:rFonts w:asciiTheme="majorHAnsi" w:hAnsiTheme="majorHAnsi" w:cstheme="majorHAnsi"/>
          <w:shd w:val="clear" w:color="auto" w:fill="FFFFFF"/>
        </w:rPr>
        <w:t>multin</w:t>
      </w:r>
      <w:r w:rsidR="00D77AD3" w:rsidRPr="000A5998">
        <w:rPr>
          <w:rFonts w:asciiTheme="majorHAnsi" w:hAnsiTheme="majorHAnsi" w:cstheme="majorHAnsi"/>
          <w:shd w:val="clear" w:color="auto" w:fill="FFFFFF"/>
        </w:rPr>
        <w:t>ational corporation</w:t>
      </w:r>
      <w:proofErr w:type="gramEnd"/>
      <w:r w:rsidR="00D77AD3" w:rsidRPr="000A5998">
        <w:rPr>
          <w:rFonts w:asciiTheme="majorHAnsi" w:hAnsiTheme="majorHAnsi" w:cstheme="majorHAnsi"/>
          <w:shd w:val="clear" w:color="auto" w:fill="FFFFFF"/>
        </w:rPr>
        <w:t xml:space="preserve"> and lobbyists</w:t>
      </w:r>
      <w:r w:rsidR="00520AB8" w:rsidRPr="000A5998">
        <w:rPr>
          <w:rFonts w:asciiTheme="majorHAnsi" w:hAnsiTheme="majorHAnsi" w:cstheme="majorHAnsi"/>
          <w:shd w:val="clear" w:color="auto" w:fill="FFFFFF"/>
        </w:rPr>
        <w:t xml:space="preserve">. </w:t>
      </w:r>
      <w:r w:rsidR="00D77AD3" w:rsidRPr="000A5998">
        <w:rPr>
          <w:rFonts w:asciiTheme="majorHAnsi" w:hAnsiTheme="majorHAnsi" w:cstheme="majorHAnsi"/>
          <w:shd w:val="clear" w:color="auto" w:fill="FFFFFF"/>
        </w:rPr>
        <w:t xml:space="preserve">The parallel sessions will subsequently explore these for four specific themes/industries – 1) food, beverage and agricultural industry; 2) energy producing industries; 3) “new” technologies; and 4) the pharmaceutical and medical devices </w:t>
      </w:r>
      <w:r w:rsidR="00AE7A67" w:rsidRPr="000A5998">
        <w:rPr>
          <w:rFonts w:asciiTheme="majorHAnsi" w:hAnsiTheme="majorHAnsi" w:cstheme="majorHAnsi"/>
          <w:shd w:val="clear" w:color="auto" w:fill="FFFFFF"/>
        </w:rPr>
        <w:t>industry. This</w:t>
      </w:r>
      <w:r w:rsidR="00520AB8" w:rsidRPr="000A5998">
        <w:rPr>
          <w:rFonts w:asciiTheme="majorHAnsi" w:hAnsiTheme="majorHAnsi" w:cstheme="majorHAnsi"/>
          <w:shd w:val="clear" w:color="auto" w:fill="FFFFFF"/>
        </w:rPr>
        <w:t xml:space="preserve"> discussion also highlights the ethical implications of these actors' influence, including health disparities and environmental harm. It </w:t>
      </w:r>
      <w:r w:rsidR="002072E8" w:rsidRPr="000A5998">
        <w:rPr>
          <w:rFonts w:asciiTheme="majorHAnsi" w:hAnsiTheme="majorHAnsi" w:cstheme="majorHAnsi"/>
          <w:shd w:val="clear" w:color="auto" w:fill="FFFFFF"/>
        </w:rPr>
        <w:t>will</w:t>
      </w:r>
      <w:r w:rsidR="00520AB8" w:rsidRPr="000A5998">
        <w:rPr>
          <w:rFonts w:asciiTheme="majorHAnsi" w:hAnsiTheme="majorHAnsi" w:cstheme="majorHAnsi"/>
          <w:shd w:val="clear" w:color="auto" w:fill="FFFFFF"/>
        </w:rPr>
        <w:t xml:space="preserve"> pinpoint gaps in current legislation, suggesting improvements for regulatory frameworks. By fostering public discourse, this dialogue enhances accountability, motivates responsible practices among these hidden actors, and raises public awareness about </w:t>
      </w:r>
      <w:proofErr w:type="spellStart"/>
      <w:r w:rsidR="002072E8" w:rsidRPr="000A5998">
        <w:rPr>
          <w:rFonts w:asciiTheme="majorHAnsi" w:hAnsiTheme="majorHAnsi" w:cstheme="majorHAnsi"/>
          <w:shd w:val="clear" w:color="auto" w:fill="FFFFFF"/>
        </w:rPr>
        <w:t>CDoH</w:t>
      </w:r>
      <w:proofErr w:type="spellEnd"/>
      <w:r w:rsidR="00520AB8" w:rsidRPr="000A5998">
        <w:rPr>
          <w:rFonts w:asciiTheme="majorHAnsi" w:hAnsiTheme="majorHAnsi" w:cstheme="majorHAnsi"/>
          <w:shd w:val="clear" w:color="auto" w:fill="FFFFFF"/>
        </w:rPr>
        <w:t xml:space="preserve">. </w:t>
      </w:r>
      <w:r w:rsidR="002072E8" w:rsidRPr="000A5998">
        <w:rPr>
          <w:rFonts w:asciiTheme="majorHAnsi" w:hAnsiTheme="majorHAnsi" w:cstheme="majorHAnsi"/>
          <w:shd w:val="clear" w:color="auto" w:fill="FFFFFF"/>
        </w:rPr>
        <w:t xml:space="preserve"> </w:t>
      </w:r>
    </w:p>
    <w:p w14:paraId="05E7D427" w14:textId="77777777" w:rsidR="00094C6F" w:rsidRPr="00D86BA9" w:rsidRDefault="00094C6F" w:rsidP="000A5998">
      <w:pPr>
        <w:pStyle w:val="ListParagraph"/>
        <w:jc w:val="both"/>
        <w:rPr>
          <w:rFonts w:asciiTheme="majorHAnsi" w:hAnsiTheme="majorHAnsi"/>
          <w:szCs w:val="28"/>
          <w:shd w:val="clear" w:color="auto" w:fill="FFFFFF"/>
          <w:lang w:val="en-US" w:bidi="th-TH"/>
        </w:rPr>
      </w:pPr>
    </w:p>
    <w:p w14:paraId="286FFDBE" w14:textId="097A8D00" w:rsidR="00E157E1" w:rsidRPr="000A5998" w:rsidRDefault="00E157E1" w:rsidP="000A5998">
      <w:pPr>
        <w:ind w:left="360"/>
        <w:jc w:val="both"/>
        <w:rPr>
          <w:rFonts w:asciiTheme="majorHAnsi" w:hAnsiTheme="majorHAnsi" w:cstheme="majorHAnsi"/>
          <w:b/>
          <w:bCs/>
          <w:shd w:val="clear" w:color="auto" w:fill="FFFFFF"/>
        </w:rPr>
      </w:pPr>
      <w:r w:rsidRPr="000A5998">
        <w:rPr>
          <w:rFonts w:asciiTheme="majorHAnsi" w:hAnsiTheme="majorHAnsi" w:cstheme="majorHAnsi"/>
          <w:b/>
          <w:bCs/>
          <w:shd w:val="clear" w:color="auto" w:fill="FFFFFF"/>
        </w:rPr>
        <w:t>Key themes</w:t>
      </w:r>
      <w:r w:rsidR="00B13B74" w:rsidRPr="000A5998">
        <w:rPr>
          <w:rFonts w:asciiTheme="majorHAnsi" w:hAnsiTheme="majorHAnsi" w:cstheme="majorHAnsi"/>
          <w:b/>
          <w:bCs/>
          <w:shd w:val="clear" w:color="auto" w:fill="FFFFFF"/>
        </w:rPr>
        <w:t xml:space="preserve"> to be highlighted</w:t>
      </w:r>
      <w:r w:rsidR="00402511" w:rsidRPr="000A5998">
        <w:rPr>
          <w:rFonts w:asciiTheme="majorHAnsi" w:hAnsiTheme="majorHAnsi" w:cstheme="majorHAnsi"/>
          <w:b/>
          <w:bCs/>
          <w:shd w:val="clear" w:color="auto" w:fill="FFFFFF"/>
        </w:rPr>
        <w:t xml:space="preserve"> in PL2</w:t>
      </w:r>
    </w:p>
    <w:p w14:paraId="5ADAB204" w14:textId="4C0E52BA" w:rsidR="00EE6C92" w:rsidRPr="000A5998" w:rsidRDefault="00EE6C92" w:rsidP="000A5998">
      <w:pPr>
        <w:ind w:left="360"/>
        <w:jc w:val="both"/>
        <w:rPr>
          <w:rFonts w:asciiTheme="majorHAnsi" w:hAnsiTheme="majorHAnsi" w:cstheme="majorHAnsi"/>
          <w:shd w:val="clear" w:color="auto" w:fill="FFFFFF"/>
        </w:rPr>
      </w:pPr>
      <w:r w:rsidRPr="000A5998">
        <w:rPr>
          <w:rFonts w:asciiTheme="majorHAnsi" w:hAnsiTheme="majorHAnsi" w:cstheme="majorHAnsi"/>
          <w:shd w:val="clear" w:color="auto" w:fill="FFFFFF"/>
        </w:rPr>
        <w:t>The</w:t>
      </w:r>
      <w:r w:rsidR="0044629A" w:rsidRPr="000A5998">
        <w:rPr>
          <w:rFonts w:asciiTheme="majorHAnsi" w:hAnsiTheme="majorHAnsi" w:cstheme="majorHAnsi"/>
          <w:shd w:val="clear" w:color="auto" w:fill="FFFFFF"/>
        </w:rPr>
        <w:t xml:space="preserve"> plenary will start with an</w:t>
      </w:r>
      <w:r w:rsidRPr="000A5998">
        <w:rPr>
          <w:rFonts w:asciiTheme="majorHAnsi" w:hAnsiTheme="majorHAnsi" w:cstheme="majorHAnsi"/>
          <w:shd w:val="clear" w:color="auto" w:fill="FFFFFF"/>
        </w:rPr>
        <w:t xml:space="preserve"> overview presentation on </w:t>
      </w:r>
      <w:proofErr w:type="spellStart"/>
      <w:r w:rsidRPr="000A5998">
        <w:rPr>
          <w:rFonts w:asciiTheme="majorHAnsi" w:hAnsiTheme="majorHAnsi" w:cstheme="majorHAnsi"/>
          <w:shd w:val="clear" w:color="auto" w:fill="FFFFFF"/>
        </w:rPr>
        <w:t>CDoH</w:t>
      </w:r>
      <w:proofErr w:type="spellEnd"/>
      <w:r w:rsidRPr="000A5998">
        <w:rPr>
          <w:rFonts w:asciiTheme="majorHAnsi" w:hAnsiTheme="majorHAnsi" w:cstheme="majorHAnsi"/>
          <w:shd w:val="clear" w:color="auto" w:fill="FFFFFF"/>
        </w:rPr>
        <w:t xml:space="preserve"> that will map out the </w:t>
      </w:r>
      <w:r w:rsidR="0021630E" w:rsidRPr="000A5998">
        <w:rPr>
          <w:rFonts w:asciiTheme="majorHAnsi" w:hAnsiTheme="majorHAnsi" w:cstheme="majorHAnsi"/>
          <w:shd w:val="clear" w:color="auto" w:fill="FFFFFF"/>
        </w:rPr>
        <w:t xml:space="preserve">issues, </w:t>
      </w:r>
      <w:r w:rsidR="00F91737" w:rsidRPr="000A5998">
        <w:rPr>
          <w:rFonts w:asciiTheme="majorHAnsi" w:hAnsiTheme="majorHAnsi" w:cstheme="majorHAnsi"/>
          <w:shd w:val="clear" w:color="auto" w:fill="FFFFFF"/>
        </w:rPr>
        <w:t xml:space="preserve">and be </w:t>
      </w:r>
      <w:r w:rsidR="00F36B61" w:rsidRPr="000A5998">
        <w:rPr>
          <w:rFonts w:asciiTheme="majorHAnsi" w:hAnsiTheme="majorHAnsi" w:cstheme="majorHAnsi"/>
          <w:shd w:val="clear" w:color="auto" w:fill="FFFFFF"/>
        </w:rPr>
        <w:t>forward-looking and action oriented</w:t>
      </w:r>
      <w:r w:rsidR="00F070F8" w:rsidRPr="000A5998">
        <w:rPr>
          <w:rFonts w:asciiTheme="majorHAnsi" w:hAnsiTheme="majorHAnsi" w:cstheme="majorHAnsi"/>
          <w:shd w:val="clear" w:color="auto" w:fill="FFFFFF"/>
        </w:rPr>
        <w:t>.</w:t>
      </w:r>
      <w:r w:rsidR="00E82792" w:rsidRPr="000A5998">
        <w:rPr>
          <w:rFonts w:asciiTheme="majorHAnsi" w:hAnsiTheme="majorHAnsi" w:cstheme="majorHAnsi"/>
          <w:shd w:val="clear" w:color="auto" w:fill="FFFFFF"/>
        </w:rPr>
        <w:t xml:space="preserve"> </w:t>
      </w:r>
      <w:r w:rsidR="00BD54E8" w:rsidRPr="000A5998">
        <w:rPr>
          <w:rFonts w:asciiTheme="majorHAnsi" w:hAnsiTheme="majorHAnsi" w:cstheme="majorHAnsi"/>
          <w:shd w:val="clear" w:color="auto" w:fill="FFFFFF"/>
        </w:rPr>
        <w:t xml:space="preserve">Subsequently, </w:t>
      </w:r>
      <w:r w:rsidR="00E33AB2" w:rsidRPr="000A5998">
        <w:rPr>
          <w:rFonts w:asciiTheme="majorHAnsi" w:hAnsiTheme="majorHAnsi" w:cstheme="majorHAnsi"/>
          <w:shd w:val="clear" w:color="auto" w:fill="FFFFFF"/>
        </w:rPr>
        <w:t xml:space="preserve">there will be a panel discussion </w:t>
      </w:r>
      <w:r w:rsidR="00BD54E8" w:rsidRPr="000A5998">
        <w:rPr>
          <w:rFonts w:asciiTheme="majorHAnsi" w:hAnsiTheme="majorHAnsi" w:cstheme="majorHAnsi"/>
          <w:shd w:val="clear" w:color="auto" w:fill="FFFFFF"/>
        </w:rPr>
        <w:t xml:space="preserve">on the following </w:t>
      </w:r>
      <w:proofErr w:type="spellStart"/>
      <w:r w:rsidR="00C166E4" w:rsidRPr="000A5998">
        <w:rPr>
          <w:rFonts w:asciiTheme="majorHAnsi" w:hAnsiTheme="majorHAnsi" w:cstheme="majorHAnsi"/>
          <w:shd w:val="clear" w:color="auto" w:fill="FFFFFF"/>
        </w:rPr>
        <w:t>actors</w:t>
      </w:r>
      <w:proofErr w:type="spellEnd"/>
      <w:r w:rsidR="00C166E4" w:rsidRPr="000A5998">
        <w:rPr>
          <w:rFonts w:asciiTheme="majorHAnsi" w:hAnsiTheme="majorHAnsi" w:cstheme="majorHAnsi"/>
          <w:shd w:val="clear" w:color="auto" w:fill="FFFFFF"/>
        </w:rPr>
        <w:t xml:space="preserve"> influencing commercial determinants of health</w:t>
      </w:r>
      <w:r w:rsidR="00BD54E8" w:rsidRPr="000A5998">
        <w:rPr>
          <w:rFonts w:asciiTheme="majorHAnsi" w:hAnsiTheme="majorHAnsi" w:cstheme="majorHAnsi"/>
          <w:shd w:val="clear" w:color="auto" w:fill="FFFFFF"/>
        </w:rPr>
        <w:t>:</w:t>
      </w:r>
    </w:p>
    <w:p w14:paraId="0B119B22" w14:textId="1013806B" w:rsidR="00402511" w:rsidRPr="000A5998" w:rsidRDefault="00FA6396" w:rsidP="000A5998">
      <w:pPr>
        <w:ind w:left="360"/>
        <w:jc w:val="both"/>
        <w:rPr>
          <w:rFonts w:asciiTheme="majorHAnsi" w:hAnsiTheme="majorHAnsi" w:cstheme="majorHAnsi"/>
          <w:lang w:val="en-US"/>
        </w:rPr>
      </w:pPr>
      <w:r w:rsidRPr="000A5998">
        <w:rPr>
          <w:rFonts w:asciiTheme="majorHAnsi" w:hAnsiTheme="majorHAnsi" w:cstheme="majorHAnsi"/>
          <w:shd w:val="clear" w:color="auto" w:fill="FFFFFF"/>
        </w:rPr>
        <w:t xml:space="preserve">The power of trans-national corporations (TNCs) on global and national economic policies mean that countries find it increasingly difficult to shape policies in favour of health. </w:t>
      </w:r>
      <w:r w:rsidRPr="000A5998">
        <w:rPr>
          <w:rFonts w:asciiTheme="majorHAnsi" w:hAnsiTheme="majorHAnsi" w:cstheme="majorHAnsi"/>
          <w:lang w:val="en-US"/>
        </w:rPr>
        <w:t>For example, MNCs may promote the consumption of processed foods, sugary beverages, and tobacco products in LMICs, where regulations and public health campaigns may be less robust than in more developed countries. In addition, hegemon</w:t>
      </w:r>
      <w:r w:rsidR="0024188B" w:rsidRPr="000A5998">
        <w:rPr>
          <w:rFonts w:asciiTheme="majorHAnsi" w:hAnsiTheme="majorHAnsi" w:cstheme="majorHAnsi"/>
          <w:lang w:val="en-US"/>
        </w:rPr>
        <w:t>ic</w:t>
      </w:r>
      <w:r w:rsidRPr="000A5998">
        <w:rPr>
          <w:rFonts w:asciiTheme="majorHAnsi" w:hAnsiTheme="majorHAnsi" w:cstheme="majorHAnsi"/>
          <w:lang w:val="en-US"/>
        </w:rPr>
        <w:t xml:space="preserve"> countries may use their economic and political power to shape international trade agreements and policies in ways that </w:t>
      </w:r>
      <w:proofErr w:type="spellStart"/>
      <w:r w:rsidRPr="000A5998">
        <w:rPr>
          <w:rFonts w:asciiTheme="majorHAnsi" w:hAnsiTheme="majorHAnsi" w:cstheme="majorHAnsi"/>
          <w:lang w:val="en-US"/>
        </w:rPr>
        <w:t>favour</w:t>
      </w:r>
      <w:proofErr w:type="spellEnd"/>
      <w:r w:rsidRPr="000A5998">
        <w:rPr>
          <w:rFonts w:asciiTheme="majorHAnsi" w:hAnsiTheme="majorHAnsi" w:cstheme="majorHAnsi"/>
          <w:lang w:val="en-US"/>
        </w:rPr>
        <w:t xml:space="preserve"> their own industries and interests, often at the expense of LMICs. This can include measures that make it difficult for LMICs to regulate or tax unhealthy products or that promote the export of such products to these countries. </w:t>
      </w:r>
    </w:p>
    <w:p w14:paraId="23677E47" w14:textId="35CB87E3" w:rsidR="009F260B" w:rsidRPr="000A5998" w:rsidRDefault="00FA712E" w:rsidP="000A5998">
      <w:pPr>
        <w:ind w:left="360"/>
        <w:jc w:val="both"/>
        <w:rPr>
          <w:rFonts w:asciiTheme="majorHAnsi" w:hAnsiTheme="majorHAnsi" w:cstheme="majorHAnsi"/>
          <w:lang w:val="en-US"/>
        </w:rPr>
      </w:pPr>
      <w:r w:rsidRPr="000A5998">
        <w:rPr>
          <w:rFonts w:asciiTheme="majorHAnsi" w:hAnsiTheme="majorHAnsi" w:cstheme="majorHAnsi"/>
          <w:lang w:val="en-US"/>
        </w:rPr>
        <w:t>L</w:t>
      </w:r>
      <w:r w:rsidR="00BA35B0" w:rsidRPr="000A5998">
        <w:rPr>
          <w:rFonts w:asciiTheme="majorHAnsi" w:hAnsiTheme="majorHAnsi" w:cstheme="majorHAnsi"/>
          <w:lang w:val="en-US"/>
        </w:rPr>
        <w:t>obbyists play a vital role in shaping public health policies by influencing legislation in favor of their respective industries. There have been instances where lobbyists, representing industries like tobacco and alcohol, have successfully hindered or diluted health-promoting policies (</w:t>
      </w:r>
      <w:r w:rsidR="00AD3A65">
        <w:rPr>
          <w:rFonts w:asciiTheme="majorHAnsi" w:hAnsiTheme="majorHAnsi" w:cstheme="majorHAnsi"/>
          <w:lang w:val="en-US"/>
        </w:rPr>
        <w:fldChar w:fldCharType="begin"/>
      </w:r>
      <w:r w:rsidR="00AD3A65">
        <w:rPr>
          <w:rFonts w:asciiTheme="majorHAnsi" w:hAnsiTheme="majorHAnsi" w:cstheme="majorHAnsi"/>
          <w:lang w:val="en-US"/>
        </w:rPr>
        <w:instrText xml:space="preserve"> REF _Ref143587378 \r \h </w:instrText>
      </w:r>
      <w:r w:rsidR="00AD3A65">
        <w:rPr>
          <w:rFonts w:asciiTheme="majorHAnsi" w:hAnsiTheme="majorHAnsi" w:cstheme="majorHAnsi"/>
          <w:lang w:val="en-US"/>
        </w:rPr>
      </w:r>
      <w:r w:rsidR="00AD3A65">
        <w:rPr>
          <w:rFonts w:asciiTheme="majorHAnsi" w:hAnsiTheme="majorHAnsi" w:cstheme="majorHAnsi"/>
          <w:lang w:val="en-US"/>
        </w:rPr>
        <w:fldChar w:fldCharType="separate"/>
      </w:r>
      <w:r w:rsidR="00AD3A65">
        <w:rPr>
          <w:rFonts w:asciiTheme="majorHAnsi" w:hAnsiTheme="majorHAnsi" w:cstheme="majorHAnsi"/>
          <w:lang w:val="en-US"/>
        </w:rPr>
        <w:t>8</w:t>
      </w:r>
      <w:r w:rsidR="00AD3A65">
        <w:rPr>
          <w:rFonts w:asciiTheme="majorHAnsi" w:hAnsiTheme="majorHAnsi" w:cstheme="majorHAnsi"/>
          <w:lang w:val="en-US"/>
        </w:rPr>
        <w:fldChar w:fldCharType="end"/>
      </w:r>
      <w:r w:rsidR="00BA35B0" w:rsidRPr="000A5998">
        <w:rPr>
          <w:rFonts w:asciiTheme="majorHAnsi" w:hAnsiTheme="majorHAnsi" w:cstheme="majorHAnsi"/>
          <w:lang w:val="en-US"/>
        </w:rPr>
        <w:t>).</w:t>
      </w:r>
      <w:r w:rsidR="004B2995" w:rsidRPr="000A5998">
        <w:rPr>
          <w:rFonts w:asciiTheme="majorHAnsi" w:hAnsiTheme="majorHAnsi" w:cstheme="majorHAnsi"/>
          <w:lang w:val="en-US"/>
        </w:rPr>
        <w:t xml:space="preserve"> The lobbyist from the fossil fuel industry, specifically ExxonMobil, possessed extensive knowledge about climate change, accurately predicting global warming due to fossil fuel burning and dismissing the possibility of an ice age, but instead of communicating this knowledge, they actively worked to deny it and orchestrate lobbying and propaganda cam</w:t>
      </w:r>
      <w:r w:rsidR="00141287" w:rsidRPr="000A5998">
        <w:rPr>
          <w:rFonts w:asciiTheme="majorHAnsi" w:hAnsiTheme="majorHAnsi" w:cstheme="majorHAnsi"/>
          <w:lang w:val="en-US"/>
        </w:rPr>
        <w:t>paigns to impede climate action (</w:t>
      </w:r>
      <w:r w:rsidR="00BE384B">
        <w:rPr>
          <w:rFonts w:asciiTheme="majorHAnsi" w:hAnsiTheme="majorHAnsi" w:cstheme="majorHAnsi"/>
          <w:lang w:val="en-US"/>
        </w:rPr>
        <w:fldChar w:fldCharType="begin"/>
      </w:r>
      <w:r w:rsidR="00BE384B">
        <w:rPr>
          <w:rFonts w:asciiTheme="majorHAnsi" w:hAnsiTheme="majorHAnsi" w:cstheme="majorHAnsi"/>
          <w:lang w:val="en-US"/>
        </w:rPr>
        <w:instrText xml:space="preserve"> REF _Ref143587588 \r \h </w:instrText>
      </w:r>
      <w:r w:rsidR="00BE384B">
        <w:rPr>
          <w:rFonts w:asciiTheme="majorHAnsi" w:hAnsiTheme="majorHAnsi" w:cstheme="majorHAnsi"/>
          <w:lang w:val="en-US"/>
        </w:rPr>
      </w:r>
      <w:r w:rsidR="00BE384B">
        <w:rPr>
          <w:rFonts w:asciiTheme="majorHAnsi" w:hAnsiTheme="majorHAnsi" w:cstheme="majorHAnsi"/>
          <w:lang w:val="en-US"/>
        </w:rPr>
        <w:fldChar w:fldCharType="separate"/>
      </w:r>
      <w:r w:rsidR="00BE384B">
        <w:rPr>
          <w:rFonts w:asciiTheme="majorHAnsi" w:hAnsiTheme="majorHAnsi" w:cstheme="majorHAnsi"/>
          <w:lang w:val="en-US"/>
        </w:rPr>
        <w:t>9</w:t>
      </w:r>
      <w:r w:rsidR="00BE384B">
        <w:rPr>
          <w:rFonts w:asciiTheme="majorHAnsi" w:hAnsiTheme="majorHAnsi" w:cstheme="majorHAnsi"/>
          <w:lang w:val="en-US"/>
        </w:rPr>
        <w:fldChar w:fldCharType="end"/>
      </w:r>
      <w:r w:rsidR="00141287" w:rsidRPr="000A5998">
        <w:rPr>
          <w:rFonts w:asciiTheme="majorHAnsi" w:hAnsiTheme="majorHAnsi" w:cstheme="majorHAnsi"/>
          <w:lang w:val="en-US"/>
        </w:rPr>
        <w:t>).</w:t>
      </w:r>
    </w:p>
    <w:p w14:paraId="69F92591" w14:textId="2FCA355D" w:rsidR="003208DB" w:rsidRPr="000A5998" w:rsidRDefault="003208DB" w:rsidP="000A5998">
      <w:pPr>
        <w:ind w:left="360"/>
        <w:jc w:val="both"/>
        <w:rPr>
          <w:rFonts w:asciiTheme="majorHAnsi" w:hAnsiTheme="majorHAnsi" w:cstheme="majorHAnsi"/>
          <w:lang w:val="en-US"/>
        </w:rPr>
      </w:pPr>
      <w:r w:rsidRPr="000A5998">
        <w:rPr>
          <w:rFonts w:asciiTheme="majorHAnsi" w:hAnsiTheme="majorHAnsi" w:cstheme="majorHAnsi"/>
          <w:lang w:val="en-US"/>
        </w:rPr>
        <w:t xml:space="preserve">The plenary will touch upon the five industries that hidden actors shaping impacts to </w:t>
      </w:r>
      <w:proofErr w:type="spellStart"/>
      <w:r w:rsidRPr="000A5998">
        <w:rPr>
          <w:rFonts w:asciiTheme="majorHAnsi" w:hAnsiTheme="majorHAnsi" w:cstheme="majorHAnsi"/>
          <w:lang w:val="en-US"/>
        </w:rPr>
        <w:t>CDoH</w:t>
      </w:r>
      <w:proofErr w:type="spellEnd"/>
      <w:r w:rsidRPr="000A5998">
        <w:rPr>
          <w:rFonts w:asciiTheme="majorHAnsi" w:hAnsiTheme="majorHAnsi" w:cstheme="majorHAnsi"/>
          <w:lang w:val="en-US"/>
        </w:rPr>
        <w:t>.</w:t>
      </w:r>
    </w:p>
    <w:p w14:paraId="65FF180F" w14:textId="5FBEFDA2" w:rsidR="003208DB" w:rsidRPr="000A5998" w:rsidRDefault="00C21B0F" w:rsidP="000A5998">
      <w:pPr>
        <w:ind w:left="360"/>
        <w:jc w:val="both"/>
        <w:rPr>
          <w:rFonts w:asciiTheme="majorHAnsi" w:hAnsiTheme="majorHAnsi" w:cstheme="majorHAnsi"/>
          <w:lang w:val="en-US"/>
        </w:rPr>
      </w:pPr>
      <w:r w:rsidRPr="000A5998">
        <w:rPr>
          <w:rFonts w:asciiTheme="majorHAnsi" w:hAnsiTheme="majorHAnsi" w:cstheme="majorHAnsi"/>
          <w:lang w:val="en-US"/>
        </w:rPr>
        <w:t xml:space="preserve">First, the food and beverage industry. Transnational corporations and influential lobbying groups employ various strategies to shape policies and consumer choices, often prioritizing profits over public health. Aggressive marketing practices, deceptive tactics, and industry trade associations contribute to these impacts, highlighting the need for transparency, regulation, and advocacy to mitigate their negative effects on health. </w:t>
      </w:r>
      <w:r w:rsidR="00AA4B27" w:rsidRPr="000A5998">
        <w:rPr>
          <w:rFonts w:asciiTheme="majorHAnsi" w:hAnsiTheme="majorHAnsi" w:cstheme="majorHAnsi"/>
          <w:lang w:val="en-US"/>
        </w:rPr>
        <w:t>Food industry actors in Chile engage in various political practices, including supporting community initiatives, funding research, and lobbying against front-of-pack nutrition labelling policies and tax increases on sugar-sweetened beverages. These practices, facilitated by Chile's neo-liberal economy, have the potential to influence public health policy and require robust mechanisms to address undue corporate influence. Despite this influence, Chile has implemented a front-of-pack nutrition labelling policy (</w:t>
      </w:r>
      <w:r w:rsidR="005D6C2C">
        <w:rPr>
          <w:rFonts w:asciiTheme="majorHAnsi" w:hAnsiTheme="majorHAnsi" w:cstheme="majorHAnsi"/>
          <w:lang w:val="en-US"/>
        </w:rPr>
        <w:fldChar w:fldCharType="begin"/>
      </w:r>
      <w:r w:rsidR="005D6C2C">
        <w:rPr>
          <w:rFonts w:asciiTheme="majorHAnsi" w:hAnsiTheme="majorHAnsi" w:cstheme="majorHAnsi"/>
          <w:lang w:val="en-US"/>
        </w:rPr>
        <w:instrText xml:space="preserve"> REF _Ref143587600 \r \h </w:instrText>
      </w:r>
      <w:r w:rsidR="005D6C2C">
        <w:rPr>
          <w:rFonts w:asciiTheme="majorHAnsi" w:hAnsiTheme="majorHAnsi" w:cstheme="majorHAnsi"/>
          <w:lang w:val="en-US"/>
        </w:rPr>
      </w:r>
      <w:r w:rsidR="005D6C2C">
        <w:rPr>
          <w:rFonts w:asciiTheme="majorHAnsi" w:hAnsiTheme="majorHAnsi" w:cstheme="majorHAnsi"/>
          <w:lang w:val="en-US"/>
        </w:rPr>
        <w:fldChar w:fldCharType="separate"/>
      </w:r>
      <w:r w:rsidR="005D6C2C">
        <w:rPr>
          <w:rFonts w:asciiTheme="majorHAnsi" w:hAnsiTheme="majorHAnsi" w:cstheme="majorHAnsi"/>
          <w:lang w:val="en-US"/>
        </w:rPr>
        <w:t>10</w:t>
      </w:r>
      <w:r w:rsidR="005D6C2C">
        <w:rPr>
          <w:rFonts w:asciiTheme="majorHAnsi" w:hAnsiTheme="majorHAnsi" w:cstheme="majorHAnsi"/>
          <w:lang w:val="en-US"/>
        </w:rPr>
        <w:fldChar w:fldCharType="end"/>
      </w:r>
      <w:r w:rsidR="00AA4B27" w:rsidRPr="000A5998">
        <w:rPr>
          <w:rFonts w:asciiTheme="majorHAnsi" w:hAnsiTheme="majorHAnsi" w:cstheme="majorHAnsi"/>
          <w:lang w:val="en-US"/>
        </w:rPr>
        <w:t xml:space="preserve">). </w:t>
      </w:r>
      <w:r w:rsidR="00225A21" w:rsidRPr="000A5998">
        <w:rPr>
          <w:rFonts w:asciiTheme="majorHAnsi" w:hAnsiTheme="majorHAnsi" w:cstheme="majorHAnsi"/>
          <w:lang w:val="en-US"/>
        </w:rPr>
        <w:t xml:space="preserve">The tobacco industry, exemplified by Philip Morris International (PMI), has a history of using covert tactics to </w:t>
      </w:r>
      <w:r w:rsidR="00225A21" w:rsidRPr="000A5998">
        <w:rPr>
          <w:rFonts w:asciiTheme="majorHAnsi" w:hAnsiTheme="majorHAnsi" w:cstheme="majorHAnsi"/>
          <w:lang w:val="en-US"/>
        </w:rPr>
        <w:lastRenderedPageBreak/>
        <w:t xml:space="preserve">undermine public health efforts. PMI's Foundation for a Smoke-Free World, purportedly advocating for smoking cessation and harm reduction, has been criticized for potential industry influence and promotion of risky alternative tobacco products </w:t>
      </w:r>
      <w:r w:rsidR="00AB6123" w:rsidRPr="000A5998">
        <w:rPr>
          <w:rFonts w:asciiTheme="majorHAnsi" w:hAnsiTheme="majorHAnsi" w:cstheme="majorHAnsi"/>
          <w:lang w:val="en-US"/>
        </w:rPr>
        <w:t>(</w:t>
      </w:r>
      <w:r w:rsidR="005D6C2C">
        <w:rPr>
          <w:rFonts w:asciiTheme="majorHAnsi" w:hAnsiTheme="majorHAnsi" w:cstheme="majorHAnsi"/>
          <w:lang w:val="en-US"/>
        </w:rPr>
        <w:fldChar w:fldCharType="begin"/>
      </w:r>
      <w:r w:rsidR="005D6C2C">
        <w:rPr>
          <w:rFonts w:asciiTheme="majorHAnsi" w:hAnsiTheme="majorHAnsi" w:cstheme="majorHAnsi"/>
          <w:lang w:val="en-US"/>
        </w:rPr>
        <w:instrText xml:space="preserve"> REF _Ref143587611 \r \h </w:instrText>
      </w:r>
      <w:r w:rsidR="005D6C2C">
        <w:rPr>
          <w:rFonts w:asciiTheme="majorHAnsi" w:hAnsiTheme="majorHAnsi" w:cstheme="majorHAnsi"/>
          <w:lang w:val="en-US"/>
        </w:rPr>
      </w:r>
      <w:r w:rsidR="005D6C2C">
        <w:rPr>
          <w:rFonts w:asciiTheme="majorHAnsi" w:hAnsiTheme="majorHAnsi" w:cstheme="majorHAnsi"/>
          <w:lang w:val="en-US"/>
        </w:rPr>
        <w:fldChar w:fldCharType="separate"/>
      </w:r>
      <w:r w:rsidR="005D6C2C">
        <w:rPr>
          <w:rFonts w:asciiTheme="majorHAnsi" w:hAnsiTheme="majorHAnsi" w:cstheme="majorHAnsi"/>
          <w:lang w:val="en-US"/>
        </w:rPr>
        <w:t>11</w:t>
      </w:r>
      <w:r w:rsidR="005D6C2C">
        <w:rPr>
          <w:rFonts w:asciiTheme="majorHAnsi" w:hAnsiTheme="majorHAnsi" w:cstheme="majorHAnsi"/>
          <w:lang w:val="en-US"/>
        </w:rPr>
        <w:fldChar w:fldCharType="end"/>
      </w:r>
      <w:r w:rsidR="00AB6123" w:rsidRPr="000A5998">
        <w:rPr>
          <w:rFonts w:asciiTheme="majorHAnsi" w:hAnsiTheme="majorHAnsi" w:cstheme="majorHAnsi"/>
          <w:lang w:val="en-US"/>
        </w:rPr>
        <w:t>)</w:t>
      </w:r>
      <w:r w:rsidR="00225A21" w:rsidRPr="000A5998">
        <w:rPr>
          <w:rFonts w:asciiTheme="majorHAnsi" w:hAnsiTheme="majorHAnsi" w:cstheme="majorHAnsi"/>
          <w:lang w:val="en-US"/>
        </w:rPr>
        <w:t>.</w:t>
      </w:r>
      <w:r w:rsidR="0024270D" w:rsidRPr="000A5998">
        <w:rPr>
          <w:rFonts w:asciiTheme="majorHAnsi" w:hAnsiTheme="majorHAnsi" w:cstheme="majorHAnsi"/>
          <w:lang w:val="en-US"/>
        </w:rPr>
        <w:t xml:space="preserve"> </w:t>
      </w:r>
    </w:p>
    <w:p w14:paraId="2CFDE5FF" w14:textId="66C4E161" w:rsidR="00921D0D" w:rsidRPr="000A5998" w:rsidRDefault="003208DB" w:rsidP="000A5998">
      <w:pPr>
        <w:ind w:left="360"/>
        <w:rPr>
          <w:rFonts w:asciiTheme="majorHAnsi" w:hAnsiTheme="majorHAnsi" w:cstheme="majorHAnsi"/>
          <w:lang w:val="en-US"/>
        </w:rPr>
      </w:pPr>
      <w:r w:rsidRPr="000A5998">
        <w:rPr>
          <w:rFonts w:asciiTheme="majorHAnsi" w:hAnsiTheme="majorHAnsi" w:cstheme="majorHAnsi"/>
          <w:lang w:val="en-US"/>
        </w:rPr>
        <w:t xml:space="preserve">Second, </w:t>
      </w:r>
      <w:r w:rsidR="00921D0D" w:rsidRPr="000A5998">
        <w:rPr>
          <w:rFonts w:asciiTheme="majorHAnsi" w:hAnsiTheme="majorHAnsi" w:cstheme="majorHAnsi"/>
          <w:lang w:val="en-US"/>
        </w:rPr>
        <w:t>the fossil fuel industry, specifically</w:t>
      </w:r>
      <w:r w:rsidR="00842A6F" w:rsidRPr="000A5998">
        <w:rPr>
          <w:rFonts w:asciiTheme="majorHAnsi" w:hAnsiTheme="majorHAnsi" w:cstheme="majorHAnsi"/>
          <w:lang w:val="en-US"/>
        </w:rPr>
        <w:t xml:space="preserve"> the lobbyist</w:t>
      </w:r>
      <w:r w:rsidR="00FD597B" w:rsidRPr="000A5998">
        <w:rPr>
          <w:rFonts w:asciiTheme="majorHAnsi" w:hAnsiTheme="majorHAnsi" w:cstheme="majorHAnsi"/>
          <w:lang w:val="en-US"/>
        </w:rPr>
        <w:t>s</w:t>
      </w:r>
      <w:r w:rsidR="007B14B1" w:rsidRPr="000A5998">
        <w:rPr>
          <w:rFonts w:asciiTheme="majorHAnsi" w:hAnsiTheme="majorHAnsi" w:cstheme="majorHAnsi"/>
          <w:lang w:val="en-US"/>
        </w:rPr>
        <w:t xml:space="preserve"> </w:t>
      </w:r>
      <w:r w:rsidR="00842A6F" w:rsidRPr="000A5998">
        <w:rPr>
          <w:rFonts w:asciiTheme="majorHAnsi" w:hAnsiTheme="majorHAnsi" w:cstheme="majorHAnsi"/>
          <w:lang w:val="en-US"/>
        </w:rPr>
        <w:t>from</w:t>
      </w:r>
      <w:r w:rsidR="00921D0D" w:rsidRPr="000A5998">
        <w:rPr>
          <w:rFonts w:asciiTheme="majorHAnsi" w:hAnsiTheme="majorHAnsi" w:cstheme="majorHAnsi"/>
          <w:lang w:val="en-US"/>
        </w:rPr>
        <w:t xml:space="preserve"> ExxonMobil, possessed extensive knowledge about climate change, accurately predicting global warming due to fossil fuel burning and </w:t>
      </w:r>
      <w:r w:rsidR="00171E92" w:rsidRPr="000A5998">
        <w:rPr>
          <w:rFonts w:asciiTheme="majorHAnsi" w:hAnsiTheme="majorHAnsi" w:cstheme="majorHAnsi"/>
          <w:lang w:val="en-US"/>
        </w:rPr>
        <w:t xml:space="preserve">their scientists correctly </w:t>
      </w:r>
      <w:r w:rsidR="00921D0D" w:rsidRPr="000A5998">
        <w:rPr>
          <w:rFonts w:asciiTheme="majorHAnsi" w:hAnsiTheme="majorHAnsi" w:cstheme="majorHAnsi"/>
          <w:lang w:val="en-US"/>
        </w:rPr>
        <w:t>dismissing the possibility of a</w:t>
      </w:r>
      <w:r w:rsidR="00171E92" w:rsidRPr="000A5998">
        <w:rPr>
          <w:rFonts w:asciiTheme="majorHAnsi" w:hAnsiTheme="majorHAnsi" w:cstheme="majorHAnsi"/>
          <w:lang w:val="en-US"/>
        </w:rPr>
        <w:t xml:space="preserve"> coming</w:t>
      </w:r>
      <w:r w:rsidR="00921D0D" w:rsidRPr="000A5998">
        <w:rPr>
          <w:rFonts w:asciiTheme="majorHAnsi" w:hAnsiTheme="majorHAnsi" w:cstheme="majorHAnsi"/>
          <w:lang w:val="en-US"/>
        </w:rPr>
        <w:t xml:space="preserve"> ice age, but instead of communicating this knowledge, they actively worked to deny it and orchestrate lobbying and propaganda campaigns to impede climate action (</w:t>
      </w:r>
      <w:r w:rsidR="005D6C2C">
        <w:rPr>
          <w:rFonts w:asciiTheme="majorHAnsi" w:hAnsiTheme="majorHAnsi" w:cstheme="majorHAnsi"/>
          <w:lang w:val="en-US"/>
        </w:rPr>
        <w:fldChar w:fldCharType="begin"/>
      </w:r>
      <w:r w:rsidR="005D6C2C">
        <w:rPr>
          <w:rFonts w:asciiTheme="majorHAnsi" w:hAnsiTheme="majorHAnsi" w:cstheme="majorHAnsi"/>
          <w:lang w:val="en-US"/>
        </w:rPr>
        <w:instrText xml:space="preserve"> REF _Ref143587625 \r \h </w:instrText>
      </w:r>
      <w:r w:rsidR="005D6C2C">
        <w:rPr>
          <w:rFonts w:asciiTheme="majorHAnsi" w:hAnsiTheme="majorHAnsi" w:cstheme="majorHAnsi"/>
          <w:lang w:val="en-US"/>
        </w:rPr>
      </w:r>
      <w:r w:rsidR="005D6C2C">
        <w:rPr>
          <w:rFonts w:asciiTheme="majorHAnsi" w:hAnsiTheme="majorHAnsi" w:cstheme="majorHAnsi"/>
          <w:lang w:val="en-US"/>
        </w:rPr>
        <w:fldChar w:fldCharType="separate"/>
      </w:r>
      <w:r w:rsidR="005D6C2C">
        <w:rPr>
          <w:rFonts w:asciiTheme="majorHAnsi" w:hAnsiTheme="majorHAnsi" w:cstheme="majorHAnsi"/>
          <w:lang w:val="en-US"/>
        </w:rPr>
        <w:t>12</w:t>
      </w:r>
      <w:r w:rsidR="005D6C2C">
        <w:rPr>
          <w:rFonts w:asciiTheme="majorHAnsi" w:hAnsiTheme="majorHAnsi" w:cstheme="majorHAnsi"/>
          <w:lang w:val="en-US"/>
        </w:rPr>
        <w:fldChar w:fldCharType="end"/>
      </w:r>
      <w:r w:rsidR="00921D0D" w:rsidRPr="000A5998">
        <w:rPr>
          <w:rFonts w:asciiTheme="majorHAnsi" w:hAnsiTheme="majorHAnsi" w:cstheme="majorHAnsi"/>
          <w:lang w:val="en-US"/>
        </w:rPr>
        <w:t>).</w:t>
      </w:r>
      <w:r w:rsidR="00C36F98" w:rsidRPr="00D86BA9">
        <w:t xml:space="preserve"> </w:t>
      </w:r>
      <w:r w:rsidR="00C36F98" w:rsidRPr="000A5998">
        <w:rPr>
          <w:rFonts w:asciiTheme="majorHAnsi" w:hAnsiTheme="majorHAnsi" w:cstheme="majorHAnsi"/>
          <w:lang w:val="en-US"/>
        </w:rPr>
        <w:t>These actions have hindered progress in transitioning to cleaner and renewable energy sources, contributing to environmental degradation and negative health impacts associated with air pollution and climate change. Moreover, lobbying groups associated with the fossil fuel industry, such as the American Petroleum Institute (API), have been influential in shaping energy policies and regulations. The API has been involved in advocating for deregulation, promoting the expansion of fossil fuel extraction, and undermining renewable energy initiatives</w:t>
      </w:r>
      <w:r w:rsidR="0095780C" w:rsidRPr="00D86BA9">
        <w:t xml:space="preserve"> </w:t>
      </w:r>
      <w:r w:rsidR="0095780C" w:rsidRPr="000A5998">
        <w:rPr>
          <w:rFonts w:asciiTheme="majorHAnsi" w:hAnsiTheme="majorHAnsi" w:cstheme="majorHAnsi"/>
          <w:lang w:val="en-US"/>
        </w:rPr>
        <w:t>(</w:t>
      </w:r>
      <w:r w:rsidR="005D6C2C">
        <w:rPr>
          <w:rFonts w:asciiTheme="majorHAnsi" w:hAnsiTheme="majorHAnsi" w:cstheme="majorHAnsi"/>
          <w:lang w:val="en-US"/>
        </w:rPr>
        <w:fldChar w:fldCharType="begin"/>
      </w:r>
      <w:r w:rsidR="005D6C2C">
        <w:rPr>
          <w:rFonts w:asciiTheme="majorHAnsi" w:hAnsiTheme="majorHAnsi" w:cstheme="majorHAnsi"/>
          <w:lang w:val="en-US"/>
        </w:rPr>
        <w:instrText xml:space="preserve"> REF _Ref143587636 \r \h </w:instrText>
      </w:r>
      <w:r w:rsidR="005D6C2C">
        <w:rPr>
          <w:rFonts w:asciiTheme="majorHAnsi" w:hAnsiTheme="majorHAnsi" w:cstheme="majorHAnsi"/>
          <w:lang w:val="en-US"/>
        </w:rPr>
      </w:r>
      <w:r w:rsidR="005D6C2C">
        <w:rPr>
          <w:rFonts w:asciiTheme="majorHAnsi" w:hAnsiTheme="majorHAnsi" w:cstheme="majorHAnsi"/>
          <w:lang w:val="en-US"/>
        </w:rPr>
        <w:fldChar w:fldCharType="separate"/>
      </w:r>
      <w:r w:rsidR="005D6C2C">
        <w:rPr>
          <w:rFonts w:asciiTheme="majorHAnsi" w:hAnsiTheme="majorHAnsi" w:cstheme="majorHAnsi"/>
          <w:lang w:val="en-US"/>
        </w:rPr>
        <w:t>13</w:t>
      </w:r>
      <w:r w:rsidR="005D6C2C">
        <w:rPr>
          <w:rFonts w:asciiTheme="majorHAnsi" w:hAnsiTheme="majorHAnsi" w:cstheme="majorHAnsi"/>
          <w:lang w:val="en-US"/>
        </w:rPr>
        <w:fldChar w:fldCharType="end"/>
      </w:r>
      <w:r w:rsidR="0095780C" w:rsidRPr="000A5998">
        <w:rPr>
          <w:rFonts w:asciiTheme="majorHAnsi" w:hAnsiTheme="majorHAnsi" w:cstheme="majorHAnsi"/>
          <w:lang w:val="en-US"/>
        </w:rPr>
        <w:t>).</w:t>
      </w:r>
      <w:r w:rsidR="00C36F98" w:rsidRPr="000A5998">
        <w:rPr>
          <w:rFonts w:asciiTheme="majorHAnsi" w:hAnsiTheme="majorHAnsi" w:cstheme="majorHAnsi"/>
          <w:lang w:val="en-US"/>
        </w:rPr>
        <w:t>These efforts have the potential to perpetuate the reliance on fossil fuels and hinder the necessary transitions towards sustainable energy systems.</w:t>
      </w:r>
    </w:p>
    <w:p w14:paraId="0B887222" w14:textId="5F2D4A1B" w:rsidR="00494599" w:rsidRPr="000A5998" w:rsidRDefault="00921D0D" w:rsidP="000A5998">
      <w:pPr>
        <w:ind w:left="360"/>
        <w:jc w:val="both"/>
        <w:rPr>
          <w:rFonts w:asciiTheme="majorHAnsi" w:hAnsiTheme="majorHAnsi" w:cstheme="majorHAnsi"/>
          <w:lang w:val="en-US"/>
        </w:rPr>
      </w:pPr>
      <w:r w:rsidRPr="000A5998">
        <w:rPr>
          <w:rFonts w:asciiTheme="majorHAnsi" w:hAnsiTheme="majorHAnsi" w:cstheme="majorHAnsi"/>
          <w:lang w:val="en-US"/>
        </w:rPr>
        <w:t xml:space="preserve">Third, </w:t>
      </w:r>
      <w:r w:rsidR="00E9797D" w:rsidRPr="000A5998">
        <w:rPr>
          <w:rFonts w:asciiTheme="majorHAnsi" w:hAnsiTheme="majorHAnsi" w:cstheme="majorHAnsi"/>
          <w:lang w:val="en-US"/>
        </w:rPr>
        <w:t>the rise of artificial intelligence (AI) holds significant geopolitical implications for global health. Countries like the United States, the European Union, and China approach AI governance differently, impacting AI's role in healthcare. AI-driven health interventions, spanning diagnosis, risk assessment, disease prediction, and policy planning, offer potential solutions in low and middle-income countries (LMICs). However, ethical, regulatory, and practical considerations must be addressed swiftly to ensure equitable and responsible AI deployment. This growing geopolitical competition raises concerns about data privacy, ethics, and access to cutting-edge AI healthcare advancements. Collaborations between nations are essential to ensure the equitable distribution of AI-driven health benefits while addressing potential risks. The geopolitical landscape of AI impacts on health is a complex interplay of technological innovation, national interests, and global health considerations, demanding careful navigation and international cooperation (</w:t>
      </w:r>
      <w:r w:rsidR="002844D1">
        <w:rPr>
          <w:rFonts w:asciiTheme="majorHAnsi" w:hAnsiTheme="majorHAnsi" w:cstheme="majorHAnsi"/>
          <w:lang w:val="en-US"/>
        </w:rPr>
        <w:fldChar w:fldCharType="begin"/>
      </w:r>
      <w:r w:rsidR="002844D1">
        <w:rPr>
          <w:rFonts w:asciiTheme="majorHAnsi" w:hAnsiTheme="majorHAnsi" w:cstheme="majorHAnsi"/>
          <w:lang w:val="en-US"/>
        </w:rPr>
        <w:instrText xml:space="preserve"> REF _Ref143703182 \r \h </w:instrText>
      </w:r>
      <w:r w:rsidR="002844D1">
        <w:rPr>
          <w:rFonts w:asciiTheme="majorHAnsi" w:hAnsiTheme="majorHAnsi" w:cstheme="majorHAnsi"/>
          <w:lang w:val="en-US"/>
        </w:rPr>
      </w:r>
      <w:r w:rsidR="002844D1">
        <w:rPr>
          <w:rFonts w:asciiTheme="majorHAnsi" w:hAnsiTheme="majorHAnsi" w:cstheme="majorHAnsi"/>
          <w:lang w:val="en-US"/>
        </w:rPr>
        <w:fldChar w:fldCharType="separate"/>
      </w:r>
      <w:r w:rsidR="002844D1">
        <w:rPr>
          <w:rFonts w:asciiTheme="majorHAnsi" w:hAnsiTheme="majorHAnsi" w:cstheme="majorHAnsi"/>
          <w:lang w:val="en-US"/>
        </w:rPr>
        <w:t>14</w:t>
      </w:r>
      <w:r w:rsidR="002844D1">
        <w:rPr>
          <w:rFonts w:asciiTheme="majorHAnsi" w:hAnsiTheme="majorHAnsi" w:cstheme="majorHAnsi"/>
          <w:lang w:val="en-US"/>
        </w:rPr>
        <w:fldChar w:fldCharType="end"/>
      </w:r>
      <w:proofErr w:type="gramStart"/>
      <w:r w:rsidR="002844D1">
        <w:rPr>
          <w:rFonts w:asciiTheme="majorHAnsi" w:hAnsiTheme="majorHAnsi" w:cstheme="majorHAnsi"/>
          <w:lang w:val="en-US"/>
        </w:rPr>
        <w:t>;</w:t>
      </w:r>
      <w:proofErr w:type="gramEnd"/>
      <w:r w:rsidR="002844D1">
        <w:rPr>
          <w:rFonts w:asciiTheme="majorHAnsi" w:hAnsiTheme="majorHAnsi" w:cstheme="majorHAnsi"/>
          <w:lang w:val="en-US"/>
        </w:rPr>
        <w:fldChar w:fldCharType="begin"/>
      </w:r>
      <w:r w:rsidR="002844D1">
        <w:rPr>
          <w:rFonts w:asciiTheme="majorHAnsi" w:hAnsiTheme="majorHAnsi" w:cstheme="majorHAnsi"/>
          <w:lang w:val="en-US"/>
        </w:rPr>
        <w:instrText xml:space="preserve"> REF _Ref143703197 \r \h </w:instrText>
      </w:r>
      <w:r w:rsidR="002844D1">
        <w:rPr>
          <w:rFonts w:asciiTheme="majorHAnsi" w:hAnsiTheme="majorHAnsi" w:cstheme="majorHAnsi"/>
          <w:lang w:val="en-US"/>
        </w:rPr>
      </w:r>
      <w:r w:rsidR="002844D1">
        <w:rPr>
          <w:rFonts w:asciiTheme="majorHAnsi" w:hAnsiTheme="majorHAnsi" w:cstheme="majorHAnsi"/>
          <w:lang w:val="en-US"/>
        </w:rPr>
        <w:fldChar w:fldCharType="separate"/>
      </w:r>
      <w:r w:rsidR="002844D1">
        <w:rPr>
          <w:rFonts w:asciiTheme="majorHAnsi" w:hAnsiTheme="majorHAnsi" w:cstheme="majorHAnsi"/>
          <w:lang w:val="en-US"/>
        </w:rPr>
        <w:t>15</w:t>
      </w:r>
      <w:r w:rsidR="002844D1">
        <w:rPr>
          <w:rFonts w:asciiTheme="majorHAnsi" w:hAnsiTheme="majorHAnsi" w:cstheme="majorHAnsi"/>
          <w:lang w:val="en-US"/>
        </w:rPr>
        <w:fldChar w:fldCharType="end"/>
      </w:r>
      <w:r w:rsidR="00E9797D" w:rsidRPr="000A5998">
        <w:rPr>
          <w:rFonts w:asciiTheme="majorHAnsi" w:hAnsiTheme="majorHAnsi" w:cstheme="majorHAnsi"/>
          <w:lang w:val="en-US"/>
        </w:rPr>
        <w:t>).</w:t>
      </w:r>
    </w:p>
    <w:p w14:paraId="28A65BB3" w14:textId="57497AFD" w:rsidR="00F13FA2" w:rsidRPr="005F0DCA" w:rsidRDefault="0095780C" w:rsidP="005F0DCA">
      <w:pPr>
        <w:ind w:left="360"/>
        <w:jc w:val="both"/>
        <w:rPr>
          <w:rFonts w:asciiTheme="majorHAnsi" w:hAnsiTheme="majorHAnsi" w:cstheme="majorHAnsi"/>
          <w:lang w:val="en-US"/>
        </w:rPr>
      </w:pPr>
      <w:r w:rsidRPr="000A5998">
        <w:rPr>
          <w:rFonts w:asciiTheme="majorHAnsi" w:hAnsiTheme="majorHAnsi" w:cstheme="majorHAnsi"/>
          <w:lang w:val="en-US"/>
        </w:rPr>
        <w:t>Fo</w:t>
      </w:r>
      <w:r w:rsidR="000921F9" w:rsidRPr="000A5998">
        <w:rPr>
          <w:rFonts w:asciiTheme="majorHAnsi" w:hAnsiTheme="majorHAnsi" w:cstheme="majorHAnsi"/>
          <w:lang w:val="en-US"/>
        </w:rPr>
        <w:t>u</w:t>
      </w:r>
      <w:r w:rsidRPr="000A5998">
        <w:rPr>
          <w:rFonts w:asciiTheme="majorHAnsi" w:hAnsiTheme="majorHAnsi" w:cstheme="majorHAnsi"/>
          <w:lang w:val="en-US"/>
        </w:rPr>
        <w:t>rth, t</w:t>
      </w:r>
      <w:r w:rsidR="00343AA7" w:rsidRPr="000A5998">
        <w:rPr>
          <w:rFonts w:asciiTheme="majorHAnsi" w:hAnsiTheme="majorHAnsi" w:cstheme="majorHAnsi"/>
          <w:lang w:val="en-US"/>
        </w:rPr>
        <w:t xml:space="preserve">he arms industry, by contributing to conflicts and wars, leaves behind a trail of casualties, displaced people, and destroyed health infrastructure. </w:t>
      </w:r>
      <w:r w:rsidR="006862E2" w:rsidRPr="000A5998">
        <w:rPr>
          <w:rFonts w:asciiTheme="majorHAnsi" w:hAnsiTheme="majorHAnsi" w:cstheme="majorHAnsi"/>
          <w:lang w:val="en-US"/>
        </w:rPr>
        <w:t xml:space="preserve">In an indirect yet impactful way, arms manufacturers also shape global health determinants. </w:t>
      </w:r>
      <w:r w:rsidR="00343AA7" w:rsidRPr="000A5998">
        <w:rPr>
          <w:rFonts w:asciiTheme="majorHAnsi" w:hAnsiTheme="majorHAnsi" w:cstheme="majorHAnsi"/>
          <w:lang w:val="en-US"/>
        </w:rPr>
        <w:t>The consequent physical, mental, and social health impacts are substantial.</w:t>
      </w:r>
      <w:r w:rsidR="00A67C7F" w:rsidRPr="000A5998">
        <w:rPr>
          <w:rFonts w:asciiTheme="majorHAnsi" w:hAnsiTheme="majorHAnsi" w:cstheme="majorHAnsi"/>
          <w:lang w:val="en-US"/>
        </w:rPr>
        <w:t xml:space="preserve"> The ongoing conflict in Syria has caused a significant decline in oil production, leading to higher global oil prices and increased greenhouse gas emissions from alternative energy sources</w:t>
      </w:r>
      <w:r w:rsidR="00DB13E9">
        <w:rPr>
          <w:rFonts w:asciiTheme="majorHAnsi" w:hAnsiTheme="majorHAnsi" w:cstheme="majorHAnsi"/>
          <w:lang w:val="en-US"/>
        </w:rPr>
        <w:t xml:space="preserve"> (</w:t>
      </w:r>
      <w:r w:rsidR="00DB13E9">
        <w:rPr>
          <w:rFonts w:asciiTheme="majorHAnsi" w:hAnsiTheme="majorHAnsi" w:cstheme="majorHAnsi"/>
          <w:lang w:val="en-US"/>
        </w:rPr>
        <w:fldChar w:fldCharType="begin"/>
      </w:r>
      <w:r w:rsidR="00DB13E9">
        <w:rPr>
          <w:rFonts w:asciiTheme="majorHAnsi" w:hAnsiTheme="majorHAnsi" w:cstheme="majorHAnsi"/>
          <w:lang w:val="en-US"/>
        </w:rPr>
        <w:instrText xml:space="preserve"> REF _Ref143785446 \r \h </w:instrText>
      </w:r>
      <w:r w:rsidR="00DB13E9">
        <w:rPr>
          <w:rFonts w:asciiTheme="majorHAnsi" w:hAnsiTheme="majorHAnsi" w:cstheme="majorHAnsi"/>
          <w:lang w:val="en-US"/>
        </w:rPr>
      </w:r>
      <w:r w:rsidR="00DB13E9">
        <w:rPr>
          <w:rFonts w:asciiTheme="majorHAnsi" w:hAnsiTheme="majorHAnsi" w:cstheme="majorHAnsi"/>
          <w:lang w:val="en-US"/>
        </w:rPr>
        <w:fldChar w:fldCharType="separate"/>
      </w:r>
      <w:r w:rsidR="00DB13E9">
        <w:rPr>
          <w:rFonts w:asciiTheme="majorHAnsi" w:hAnsiTheme="majorHAnsi" w:cstheme="majorHAnsi"/>
          <w:lang w:val="en-US"/>
        </w:rPr>
        <w:t>16</w:t>
      </w:r>
      <w:r w:rsidR="00DB13E9">
        <w:rPr>
          <w:rFonts w:asciiTheme="majorHAnsi" w:hAnsiTheme="majorHAnsi" w:cstheme="majorHAnsi"/>
          <w:lang w:val="en-US"/>
        </w:rPr>
        <w:fldChar w:fldCharType="end"/>
      </w:r>
      <w:r w:rsidR="00DB13E9">
        <w:rPr>
          <w:rFonts w:asciiTheme="majorHAnsi" w:hAnsiTheme="majorHAnsi" w:cstheme="majorHAnsi"/>
          <w:lang w:val="en-US"/>
        </w:rPr>
        <w:t>)</w:t>
      </w:r>
      <w:r w:rsidR="00A67C7F" w:rsidRPr="000A5998">
        <w:rPr>
          <w:rFonts w:asciiTheme="majorHAnsi" w:hAnsiTheme="majorHAnsi" w:cstheme="majorHAnsi"/>
          <w:lang w:val="en-US"/>
        </w:rPr>
        <w:t xml:space="preserve">. The Russian aggression on Ukraine has resulted in a significant shift in global energy politics, with the EU reducing fossil fuel imports and China turning to Russia and Saudi Arabia for oil and gas. This geopolitical shift has </w:t>
      </w:r>
      <w:r w:rsidR="009808C4" w:rsidRPr="000A5998">
        <w:rPr>
          <w:rFonts w:asciiTheme="majorHAnsi" w:hAnsiTheme="majorHAnsi" w:cstheme="majorHAnsi"/>
          <w:lang w:val="en-US"/>
        </w:rPr>
        <w:t>substantial</w:t>
      </w:r>
      <w:r w:rsidR="00A67C7F" w:rsidRPr="000A5998">
        <w:rPr>
          <w:rFonts w:asciiTheme="majorHAnsi" w:hAnsiTheme="majorHAnsi" w:cstheme="majorHAnsi"/>
          <w:lang w:val="en-US"/>
        </w:rPr>
        <w:t xml:space="preserve"> global impacts, with the war impairing wheat production and transportation (</w:t>
      </w:r>
      <w:r w:rsidR="00EC689A">
        <w:rPr>
          <w:rFonts w:asciiTheme="majorHAnsi" w:hAnsiTheme="majorHAnsi" w:cstheme="majorHAnsi"/>
          <w:lang w:val="en-US"/>
        </w:rPr>
        <w:fldChar w:fldCharType="begin"/>
      </w:r>
      <w:r w:rsidR="00EC689A">
        <w:rPr>
          <w:rFonts w:asciiTheme="majorHAnsi" w:hAnsiTheme="majorHAnsi" w:cstheme="majorHAnsi"/>
          <w:lang w:val="en-US"/>
        </w:rPr>
        <w:instrText xml:space="preserve"> REF _Ref143785554 \r \h </w:instrText>
      </w:r>
      <w:r w:rsidR="00EC689A">
        <w:rPr>
          <w:rFonts w:asciiTheme="majorHAnsi" w:hAnsiTheme="majorHAnsi" w:cstheme="majorHAnsi"/>
          <w:lang w:val="en-US"/>
        </w:rPr>
      </w:r>
      <w:r w:rsidR="00EC689A">
        <w:rPr>
          <w:rFonts w:asciiTheme="majorHAnsi" w:hAnsiTheme="majorHAnsi" w:cstheme="majorHAnsi"/>
          <w:lang w:val="en-US"/>
        </w:rPr>
        <w:fldChar w:fldCharType="separate"/>
      </w:r>
      <w:r w:rsidR="00EC689A">
        <w:rPr>
          <w:rFonts w:asciiTheme="majorHAnsi" w:hAnsiTheme="majorHAnsi" w:cstheme="majorHAnsi"/>
          <w:lang w:val="en-US"/>
        </w:rPr>
        <w:t>17</w:t>
      </w:r>
      <w:r w:rsidR="00EC689A">
        <w:rPr>
          <w:rFonts w:asciiTheme="majorHAnsi" w:hAnsiTheme="majorHAnsi" w:cstheme="majorHAnsi"/>
          <w:lang w:val="en-US"/>
        </w:rPr>
        <w:fldChar w:fldCharType="end"/>
      </w:r>
      <w:r w:rsidR="00A67C7F" w:rsidRPr="000A5998">
        <w:rPr>
          <w:rFonts w:asciiTheme="majorHAnsi" w:hAnsiTheme="majorHAnsi" w:cstheme="majorHAnsi"/>
          <w:lang w:val="en-US"/>
        </w:rPr>
        <w:t>).</w:t>
      </w:r>
      <w:r w:rsidR="009808C4" w:rsidRPr="000A5998">
        <w:rPr>
          <w:rFonts w:asciiTheme="majorHAnsi" w:hAnsiTheme="majorHAnsi" w:cstheme="majorHAnsi"/>
          <w:lang w:val="en-US"/>
        </w:rPr>
        <w:t xml:space="preserve"> For further reading, see SIPRI Yearbook 2023 (https://www.sipri.org/yearbook/2023)</w:t>
      </w:r>
    </w:p>
    <w:p w14:paraId="5CD9A9F6" w14:textId="772D65C8" w:rsidR="00282C2A" w:rsidRPr="000A5998" w:rsidRDefault="00C93195" w:rsidP="000A5998">
      <w:pPr>
        <w:ind w:left="360"/>
        <w:rPr>
          <w:rFonts w:asciiTheme="majorHAnsi" w:hAnsiTheme="majorHAnsi"/>
          <w:lang w:val="en-US"/>
        </w:rPr>
      </w:pPr>
      <w:r w:rsidRPr="000A5998">
        <w:rPr>
          <w:rFonts w:asciiTheme="majorHAnsi" w:hAnsiTheme="majorHAnsi"/>
          <w:lang w:val="en-US"/>
        </w:rPr>
        <w:t>Th</w:t>
      </w:r>
      <w:r w:rsidR="001A7CC7" w:rsidRPr="000A5998">
        <w:rPr>
          <w:rFonts w:asciiTheme="majorHAnsi" w:hAnsiTheme="majorHAnsi"/>
          <w:lang w:val="en-US"/>
        </w:rPr>
        <w:t>is</w:t>
      </w:r>
      <w:r w:rsidRPr="000A5998">
        <w:rPr>
          <w:rFonts w:asciiTheme="majorHAnsi" w:hAnsiTheme="majorHAnsi"/>
          <w:lang w:val="en-US"/>
        </w:rPr>
        <w:t xml:space="preserve"> plenary will also </w:t>
      </w:r>
      <w:r w:rsidR="001A7CC7" w:rsidRPr="000A5998">
        <w:rPr>
          <w:rFonts w:asciiTheme="majorHAnsi" w:hAnsiTheme="majorHAnsi"/>
          <w:lang w:val="en-US"/>
        </w:rPr>
        <w:t>identify</w:t>
      </w:r>
      <w:r w:rsidRPr="000A5998">
        <w:rPr>
          <w:rFonts w:asciiTheme="majorHAnsi" w:hAnsiTheme="majorHAnsi"/>
          <w:lang w:val="en-US"/>
        </w:rPr>
        <w:t xml:space="preserve"> positive impact</w:t>
      </w:r>
      <w:r w:rsidR="007A38BE" w:rsidRPr="000A5998">
        <w:rPr>
          <w:rFonts w:asciiTheme="majorHAnsi" w:hAnsiTheme="majorHAnsi"/>
          <w:lang w:val="en-US"/>
        </w:rPr>
        <w:t>s</w:t>
      </w:r>
      <w:r w:rsidRPr="000A5998">
        <w:rPr>
          <w:rFonts w:asciiTheme="majorHAnsi" w:hAnsiTheme="majorHAnsi"/>
          <w:lang w:val="en-US"/>
        </w:rPr>
        <w:t xml:space="preserve"> </w:t>
      </w:r>
      <w:r w:rsidR="00A7008E" w:rsidRPr="000A5998">
        <w:rPr>
          <w:rFonts w:asciiTheme="majorHAnsi" w:hAnsiTheme="majorHAnsi"/>
          <w:lang w:val="en-US"/>
        </w:rPr>
        <w:t>on</w:t>
      </w:r>
      <w:r w:rsidRPr="000A5998">
        <w:rPr>
          <w:rFonts w:asciiTheme="majorHAnsi" w:hAnsiTheme="majorHAnsi"/>
          <w:lang w:val="en-US"/>
        </w:rPr>
        <w:t xml:space="preserve"> population and planetary health </w:t>
      </w:r>
      <w:r w:rsidR="0032047D" w:rsidRPr="000A5998">
        <w:rPr>
          <w:rFonts w:asciiTheme="majorHAnsi" w:hAnsiTheme="majorHAnsi"/>
          <w:lang w:val="en-US"/>
        </w:rPr>
        <w:t xml:space="preserve">that </w:t>
      </w:r>
      <w:r w:rsidR="00223B21" w:rsidRPr="000A5998">
        <w:rPr>
          <w:rFonts w:asciiTheme="majorHAnsi" w:hAnsiTheme="majorHAnsi"/>
          <w:lang w:val="en-US"/>
        </w:rPr>
        <w:t xml:space="preserve">can </w:t>
      </w:r>
      <w:r w:rsidR="0032047D" w:rsidRPr="000A5998">
        <w:rPr>
          <w:rFonts w:asciiTheme="majorHAnsi" w:hAnsiTheme="majorHAnsi"/>
          <w:lang w:val="en-US"/>
        </w:rPr>
        <w:t xml:space="preserve">result from countering </w:t>
      </w:r>
      <w:r w:rsidR="007A38BE" w:rsidRPr="000A5998">
        <w:rPr>
          <w:rFonts w:asciiTheme="majorHAnsi" w:hAnsiTheme="majorHAnsi"/>
          <w:lang w:val="en-US"/>
        </w:rPr>
        <w:t>the actions of the hidden actors</w:t>
      </w:r>
      <w:r w:rsidR="00282C2A" w:rsidRPr="000A5998">
        <w:rPr>
          <w:rFonts w:asciiTheme="majorHAnsi" w:hAnsiTheme="majorHAnsi"/>
          <w:lang w:val="en-US"/>
        </w:rPr>
        <w:t xml:space="preserve"> by promoting the “</w:t>
      </w:r>
      <w:r w:rsidR="009E398E" w:rsidRPr="000A5998">
        <w:rPr>
          <w:rFonts w:asciiTheme="majorHAnsi" w:hAnsiTheme="majorHAnsi"/>
          <w:lang w:val="en-US"/>
        </w:rPr>
        <w:t>mechanisms”, namely,</w:t>
      </w:r>
      <w:r w:rsidR="00282C2A" w:rsidRPr="000A5998">
        <w:rPr>
          <w:rFonts w:asciiTheme="majorHAnsi" w:hAnsiTheme="majorHAnsi"/>
          <w:lang w:val="en-US"/>
        </w:rPr>
        <w:t xml:space="preserve"> 1) </w:t>
      </w:r>
      <w:r w:rsidR="00261561" w:rsidRPr="000A5998">
        <w:rPr>
          <w:rFonts w:asciiTheme="majorHAnsi" w:hAnsiTheme="majorHAnsi"/>
          <w:lang w:val="en-US"/>
        </w:rPr>
        <w:t>s</w:t>
      </w:r>
      <w:r w:rsidR="00282C2A" w:rsidRPr="000A5998">
        <w:rPr>
          <w:rFonts w:asciiTheme="majorHAnsi" w:hAnsiTheme="majorHAnsi"/>
          <w:lang w:val="en-US"/>
        </w:rPr>
        <w:t>trengthening regulati</w:t>
      </w:r>
      <w:r w:rsidR="00261561" w:rsidRPr="000A5998">
        <w:rPr>
          <w:rFonts w:asciiTheme="majorHAnsi" w:hAnsiTheme="majorHAnsi"/>
          <w:lang w:val="en-US"/>
        </w:rPr>
        <w:t>ons and policies, 2) p</w:t>
      </w:r>
      <w:r w:rsidR="00282C2A" w:rsidRPr="000A5998">
        <w:rPr>
          <w:rFonts w:asciiTheme="majorHAnsi" w:hAnsiTheme="majorHAnsi"/>
          <w:lang w:val="en-US"/>
        </w:rPr>
        <w:t>romoting transparency and accountability</w:t>
      </w:r>
      <w:r w:rsidR="00261561" w:rsidRPr="000A5998">
        <w:rPr>
          <w:rFonts w:asciiTheme="majorHAnsi" w:hAnsiTheme="majorHAnsi"/>
          <w:lang w:val="en-US"/>
        </w:rPr>
        <w:t>, 3) r</w:t>
      </w:r>
      <w:r w:rsidR="00282C2A" w:rsidRPr="000A5998">
        <w:rPr>
          <w:rFonts w:asciiTheme="majorHAnsi" w:hAnsiTheme="majorHAnsi"/>
          <w:lang w:val="en-US"/>
        </w:rPr>
        <w:t>educing conflicts of interest</w:t>
      </w:r>
      <w:r w:rsidR="00261561" w:rsidRPr="000A5998">
        <w:rPr>
          <w:rFonts w:asciiTheme="majorHAnsi" w:hAnsiTheme="majorHAnsi"/>
          <w:lang w:val="en-US"/>
        </w:rPr>
        <w:t xml:space="preserve">, </w:t>
      </w:r>
      <w:r w:rsidR="00282C2A" w:rsidRPr="000A5998">
        <w:rPr>
          <w:rFonts w:asciiTheme="majorHAnsi" w:hAnsiTheme="majorHAnsi"/>
          <w:lang w:val="en-US"/>
        </w:rPr>
        <w:t>4</w:t>
      </w:r>
      <w:r w:rsidR="00261561" w:rsidRPr="000A5998">
        <w:rPr>
          <w:rFonts w:asciiTheme="majorHAnsi" w:hAnsiTheme="majorHAnsi"/>
          <w:lang w:val="en-US"/>
        </w:rPr>
        <w:t>)</w:t>
      </w:r>
      <w:r w:rsidR="00282C2A" w:rsidRPr="000A5998">
        <w:rPr>
          <w:rFonts w:asciiTheme="majorHAnsi" w:hAnsiTheme="majorHAnsi"/>
          <w:lang w:val="en-US"/>
        </w:rPr>
        <w:t xml:space="preserve"> </w:t>
      </w:r>
      <w:r w:rsidR="00261561" w:rsidRPr="000A5998">
        <w:rPr>
          <w:rFonts w:asciiTheme="majorHAnsi" w:hAnsiTheme="majorHAnsi"/>
          <w:lang w:val="en-US"/>
        </w:rPr>
        <w:t>p</w:t>
      </w:r>
      <w:r w:rsidR="00282C2A" w:rsidRPr="000A5998">
        <w:rPr>
          <w:rFonts w:asciiTheme="majorHAnsi" w:hAnsiTheme="majorHAnsi"/>
          <w:lang w:val="en-US"/>
        </w:rPr>
        <w:t>romoting healthier business models</w:t>
      </w:r>
      <w:r w:rsidR="00261561" w:rsidRPr="000A5998">
        <w:rPr>
          <w:rFonts w:asciiTheme="majorHAnsi" w:hAnsiTheme="majorHAnsi"/>
          <w:lang w:val="en-US"/>
        </w:rPr>
        <w:t>,</w:t>
      </w:r>
      <w:r w:rsidR="009E398E" w:rsidRPr="000A5998">
        <w:rPr>
          <w:rFonts w:asciiTheme="majorHAnsi" w:hAnsiTheme="majorHAnsi"/>
          <w:lang w:val="en-US"/>
        </w:rPr>
        <w:t xml:space="preserve"> and</w:t>
      </w:r>
      <w:r w:rsidR="00261561" w:rsidRPr="000A5998">
        <w:rPr>
          <w:rFonts w:asciiTheme="majorHAnsi" w:hAnsiTheme="majorHAnsi"/>
          <w:lang w:val="en-US"/>
        </w:rPr>
        <w:t xml:space="preserve"> 5)</w:t>
      </w:r>
      <w:r w:rsidR="00282C2A" w:rsidRPr="000A5998">
        <w:rPr>
          <w:rFonts w:asciiTheme="majorHAnsi" w:hAnsiTheme="majorHAnsi"/>
          <w:lang w:val="en-US"/>
        </w:rPr>
        <w:t xml:space="preserve"> </w:t>
      </w:r>
      <w:r w:rsidR="00261561" w:rsidRPr="000A5998">
        <w:rPr>
          <w:rFonts w:asciiTheme="majorHAnsi" w:hAnsiTheme="majorHAnsi"/>
          <w:lang w:val="en-US"/>
        </w:rPr>
        <w:t>e</w:t>
      </w:r>
      <w:r w:rsidR="00282C2A" w:rsidRPr="000A5998">
        <w:rPr>
          <w:rFonts w:asciiTheme="majorHAnsi" w:hAnsiTheme="majorHAnsi"/>
          <w:lang w:val="en-US"/>
        </w:rPr>
        <w:t>mpowering consumers</w:t>
      </w:r>
      <w:r w:rsidR="009E398E" w:rsidRPr="000A5998">
        <w:rPr>
          <w:rFonts w:asciiTheme="majorHAnsi" w:hAnsiTheme="majorHAnsi"/>
          <w:lang w:val="en-US"/>
        </w:rPr>
        <w:t>.</w:t>
      </w:r>
    </w:p>
    <w:p w14:paraId="2B21304D" w14:textId="35232616" w:rsidR="00B44CEB" w:rsidRPr="008D5DA1" w:rsidRDefault="00B44CEB" w:rsidP="008D5DA1">
      <w:pPr>
        <w:ind w:left="426"/>
        <w:rPr>
          <w:rFonts w:asciiTheme="majorHAnsi" w:hAnsiTheme="majorHAnsi" w:cs="Segoe UI"/>
        </w:rPr>
      </w:pPr>
      <w:r w:rsidRPr="008D5DA1">
        <w:rPr>
          <w:rFonts w:cs="Segoe UI"/>
        </w:rPr>
        <w:t>Fo</w:t>
      </w:r>
      <w:r w:rsidRPr="008D5DA1">
        <w:rPr>
          <w:rFonts w:asciiTheme="majorHAnsi" w:hAnsiTheme="majorHAnsi" w:cs="Segoe UI"/>
        </w:rPr>
        <w:t xml:space="preserve">r example, </w:t>
      </w:r>
      <w:r w:rsidR="00443709" w:rsidRPr="008D5DA1">
        <w:rPr>
          <w:rFonts w:asciiTheme="majorHAnsi" w:hAnsiTheme="majorHAnsi" w:cs="Segoe UI"/>
        </w:rPr>
        <w:t xml:space="preserve">the </w:t>
      </w:r>
      <w:r w:rsidRPr="008D5DA1">
        <w:rPr>
          <w:rFonts w:asciiTheme="majorHAnsi" w:hAnsiTheme="majorHAnsi" w:cs="Segoe UI"/>
        </w:rPr>
        <w:t xml:space="preserve">increase of supermarkets </w:t>
      </w:r>
      <w:r w:rsidR="00C91F1C" w:rsidRPr="008D5DA1">
        <w:rPr>
          <w:rFonts w:asciiTheme="majorHAnsi" w:hAnsiTheme="majorHAnsi" w:cs="Segoe UI"/>
        </w:rPr>
        <w:t xml:space="preserve">that sell healthy foods </w:t>
      </w:r>
      <w:r w:rsidRPr="008D5DA1">
        <w:rPr>
          <w:rFonts w:asciiTheme="majorHAnsi" w:hAnsiTheme="majorHAnsi" w:cs="Segoe UI"/>
        </w:rPr>
        <w:t xml:space="preserve">and decreased </w:t>
      </w:r>
      <w:r w:rsidR="007A5BDE" w:rsidRPr="008D5DA1">
        <w:rPr>
          <w:rFonts w:asciiTheme="majorHAnsi" w:hAnsiTheme="majorHAnsi" w:cs="Segoe UI"/>
        </w:rPr>
        <w:t xml:space="preserve">dependence </w:t>
      </w:r>
      <w:r w:rsidR="00555A67" w:rsidRPr="008D5DA1">
        <w:rPr>
          <w:rFonts w:asciiTheme="majorHAnsi" w:hAnsiTheme="majorHAnsi" w:cs="Segoe UI"/>
        </w:rPr>
        <w:t xml:space="preserve">on </w:t>
      </w:r>
      <w:r w:rsidRPr="008D5DA1">
        <w:rPr>
          <w:rFonts w:asciiTheme="majorHAnsi" w:hAnsiTheme="majorHAnsi" w:cs="Segoe UI"/>
        </w:rPr>
        <w:t xml:space="preserve">convenience stores </w:t>
      </w:r>
      <w:r w:rsidR="00555A67" w:rsidRPr="008D5DA1">
        <w:rPr>
          <w:rFonts w:asciiTheme="majorHAnsi" w:hAnsiTheme="majorHAnsi" w:cs="Segoe UI"/>
        </w:rPr>
        <w:t xml:space="preserve">selling “junk food” </w:t>
      </w:r>
      <w:r w:rsidRPr="008D5DA1">
        <w:rPr>
          <w:rFonts w:asciiTheme="majorHAnsi" w:hAnsiTheme="majorHAnsi" w:cs="Segoe UI"/>
        </w:rPr>
        <w:t>in low-income areas w</w:t>
      </w:r>
      <w:r w:rsidR="00E87429" w:rsidRPr="008D5DA1">
        <w:rPr>
          <w:rFonts w:asciiTheme="majorHAnsi" w:hAnsiTheme="majorHAnsi" w:cs="Segoe UI"/>
        </w:rPr>
        <w:t>ere</w:t>
      </w:r>
      <w:r w:rsidR="00040649" w:rsidRPr="008D5DA1">
        <w:rPr>
          <w:rFonts w:asciiTheme="majorHAnsi" w:hAnsiTheme="majorHAnsi" w:cs="Segoe UI"/>
        </w:rPr>
        <w:t xml:space="preserve"> a</w:t>
      </w:r>
      <w:r w:rsidRPr="008D5DA1">
        <w:rPr>
          <w:rFonts w:asciiTheme="majorHAnsi" w:hAnsiTheme="majorHAnsi" w:cs="Segoe UI"/>
        </w:rPr>
        <w:t>ssociated with improved diets and decreased rates of obesity (</w:t>
      </w:r>
      <w:r w:rsidR="008D5DA1">
        <w:rPr>
          <w:rFonts w:asciiTheme="majorHAnsi" w:hAnsiTheme="majorHAnsi" w:cs="Segoe UI"/>
        </w:rPr>
        <w:fldChar w:fldCharType="begin"/>
      </w:r>
      <w:r w:rsidR="008D5DA1">
        <w:rPr>
          <w:rFonts w:asciiTheme="majorHAnsi" w:hAnsiTheme="majorHAnsi" w:cs="Segoe UI"/>
        </w:rPr>
        <w:instrText xml:space="preserve"> REF _Ref143786098 \r \h </w:instrText>
      </w:r>
      <w:r w:rsidR="008D5DA1">
        <w:rPr>
          <w:rFonts w:asciiTheme="majorHAnsi" w:hAnsiTheme="majorHAnsi" w:cs="Segoe UI"/>
        </w:rPr>
      </w:r>
      <w:r w:rsidR="008D5DA1">
        <w:rPr>
          <w:rFonts w:asciiTheme="majorHAnsi" w:hAnsiTheme="majorHAnsi" w:cs="Segoe UI"/>
        </w:rPr>
        <w:fldChar w:fldCharType="separate"/>
      </w:r>
      <w:r w:rsidR="008D5DA1">
        <w:rPr>
          <w:rFonts w:asciiTheme="majorHAnsi" w:hAnsiTheme="majorHAnsi" w:cs="Segoe UI"/>
        </w:rPr>
        <w:t>18</w:t>
      </w:r>
      <w:r w:rsidR="008D5DA1">
        <w:rPr>
          <w:rFonts w:asciiTheme="majorHAnsi" w:hAnsiTheme="majorHAnsi" w:cs="Segoe UI"/>
        </w:rPr>
        <w:fldChar w:fldCharType="end"/>
      </w:r>
      <w:r w:rsidRPr="008D5DA1">
        <w:rPr>
          <w:rFonts w:asciiTheme="majorHAnsi" w:hAnsiTheme="majorHAnsi" w:cs="Segoe UI"/>
        </w:rPr>
        <w:t xml:space="preserve">). </w:t>
      </w:r>
      <w:r w:rsidR="00D27BE3" w:rsidRPr="008D5DA1">
        <w:rPr>
          <w:rFonts w:asciiTheme="majorHAnsi" w:hAnsiTheme="majorHAnsi" w:cs="Segoe UI"/>
        </w:rPr>
        <w:t>T</w:t>
      </w:r>
      <w:r w:rsidRPr="008D5DA1">
        <w:rPr>
          <w:rFonts w:asciiTheme="majorHAnsi" w:hAnsiTheme="majorHAnsi" w:cs="Segoe UI"/>
        </w:rPr>
        <w:t>he availability of parks and recreational facilities was associated with increased physical activity and decreased rates of obesity (</w:t>
      </w:r>
      <w:r w:rsidR="00764B24">
        <w:rPr>
          <w:rFonts w:asciiTheme="majorHAnsi" w:hAnsiTheme="majorHAnsi" w:cs="Segoe UI"/>
        </w:rPr>
        <w:fldChar w:fldCharType="begin"/>
      </w:r>
      <w:r w:rsidR="00764B24">
        <w:rPr>
          <w:rFonts w:asciiTheme="majorHAnsi" w:hAnsiTheme="majorHAnsi" w:cs="Segoe UI"/>
        </w:rPr>
        <w:instrText xml:space="preserve"> REF _Ref143786202 \r \h </w:instrText>
      </w:r>
      <w:r w:rsidR="00764B24">
        <w:rPr>
          <w:rFonts w:asciiTheme="majorHAnsi" w:hAnsiTheme="majorHAnsi" w:cs="Segoe UI"/>
        </w:rPr>
      </w:r>
      <w:r w:rsidR="00764B24">
        <w:rPr>
          <w:rFonts w:asciiTheme="majorHAnsi" w:hAnsiTheme="majorHAnsi" w:cs="Segoe UI"/>
        </w:rPr>
        <w:fldChar w:fldCharType="separate"/>
      </w:r>
      <w:r w:rsidR="00764B24">
        <w:rPr>
          <w:rFonts w:asciiTheme="majorHAnsi" w:hAnsiTheme="majorHAnsi" w:cs="Segoe UI"/>
        </w:rPr>
        <w:t>19</w:t>
      </w:r>
      <w:r w:rsidR="00764B24">
        <w:rPr>
          <w:rFonts w:asciiTheme="majorHAnsi" w:hAnsiTheme="majorHAnsi" w:cs="Segoe UI"/>
        </w:rPr>
        <w:fldChar w:fldCharType="end"/>
      </w:r>
      <w:r w:rsidRPr="008D5DA1">
        <w:rPr>
          <w:rFonts w:asciiTheme="majorHAnsi" w:hAnsiTheme="majorHAnsi" w:cs="Segoe UI"/>
        </w:rPr>
        <w:t xml:space="preserve">). </w:t>
      </w:r>
      <w:r w:rsidR="0069293C" w:rsidRPr="008D5DA1">
        <w:rPr>
          <w:rFonts w:asciiTheme="majorHAnsi" w:hAnsiTheme="majorHAnsi" w:cs="Segoe UI"/>
        </w:rPr>
        <w:t xml:space="preserve">Industries have a </w:t>
      </w:r>
      <w:r w:rsidR="0069293C" w:rsidRPr="008D5DA1">
        <w:rPr>
          <w:rFonts w:asciiTheme="majorHAnsi" w:hAnsiTheme="majorHAnsi" w:cs="Segoe UI"/>
        </w:rPr>
        <w:lastRenderedPageBreak/>
        <w:t xml:space="preserve">significant impact on the global </w:t>
      </w:r>
      <w:proofErr w:type="spellStart"/>
      <w:r w:rsidR="0069293C" w:rsidRPr="008D5DA1">
        <w:rPr>
          <w:rFonts w:asciiTheme="majorHAnsi" w:hAnsiTheme="majorHAnsi" w:cs="Segoe UI"/>
        </w:rPr>
        <w:t>syndemic</w:t>
      </w:r>
      <w:proofErr w:type="spellEnd"/>
      <w:r w:rsidR="0069293C" w:rsidRPr="008D5DA1">
        <w:rPr>
          <w:rFonts w:asciiTheme="majorHAnsi" w:hAnsiTheme="majorHAnsi" w:cs="Segoe UI"/>
        </w:rPr>
        <w:t xml:space="preserve"> of obesity, </w:t>
      </w:r>
      <w:proofErr w:type="spellStart"/>
      <w:r w:rsidR="0069293C" w:rsidRPr="008D5DA1">
        <w:rPr>
          <w:rFonts w:asciiTheme="majorHAnsi" w:hAnsiTheme="majorHAnsi" w:cs="Segoe UI"/>
        </w:rPr>
        <w:t>undernutrition</w:t>
      </w:r>
      <w:proofErr w:type="spellEnd"/>
      <w:r w:rsidR="0069293C" w:rsidRPr="008D5DA1">
        <w:rPr>
          <w:rFonts w:asciiTheme="majorHAnsi" w:hAnsiTheme="majorHAnsi" w:cs="Segoe UI"/>
        </w:rPr>
        <w:t>, and climate change, but they also have the potential to contribute positively by adopting proactive measures such as reformulating products, promoting food security, and adopting sustainable practices. By aligning their business models with health and sustainability goals, industries can play a vital role in mitigating these challenges and creating a health</w:t>
      </w:r>
      <w:r w:rsidR="002514FF" w:rsidRPr="008D5DA1">
        <w:rPr>
          <w:rFonts w:asciiTheme="majorHAnsi" w:hAnsiTheme="majorHAnsi" w:cs="Segoe UI"/>
        </w:rPr>
        <w:t>ier and more sustainable future (</w:t>
      </w:r>
      <w:r w:rsidR="00764B24">
        <w:rPr>
          <w:rFonts w:asciiTheme="majorHAnsi" w:hAnsiTheme="majorHAnsi" w:cs="Segoe UI"/>
        </w:rPr>
        <w:fldChar w:fldCharType="begin"/>
      </w:r>
      <w:r w:rsidR="00764B24">
        <w:rPr>
          <w:rFonts w:asciiTheme="majorHAnsi" w:hAnsiTheme="majorHAnsi" w:cs="Segoe UI"/>
        </w:rPr>
        <w:instrText xml:space="preserve"> REF _Ref143786216 \r \h </w:instrText>
      </w:r>
      <w:r w:rsidR="00764B24">
        <w:rPr>
          <w:rFonts w:asciiTheme="majorHAnsi" w:hAnsiTheme="majorHAnsi" w:cs="Segoe UI"/>
        </w:rPr>
      </w:r>
      <w:r w:rsidR="00764B24">
        <w:rPr>
          <w:rFonts w:asciiTheme="majorHAnsi" w:hAnsiTheme="majorHAnsi" w:cs="Segoe UI"/>
        </w:rPr>
        <w:fldChar w:fldCharType="separate"/>
      </w:r>
      <w:r w:rsidR="00764B24">
        <w:rPr>
          <w:rFonts w:asciiTheme="majorHAnsi" w:hAnsiTheme="majorHAnsi" w:cs="Segoe UI"/>
        </w:rPr>
        <w:t>20</w:t>
      </w:r>
      <w:r w:rsidR="00764B24">
        <w:rPr>
          <w:rFonts w:asciiTheme="majorHAnsi" w:hAnsiTheme="majorHAnsi" w:cs="Segoe UI"/>
        </w:rPr>
        <w:fldChar w:fldCharType="end"/>
      </w:r>
      <w:r w:rsidR="002514FF" w:rsidRPr="008D5DA1">
        <w:rPr>
          <w:rFonts w:asciiTheme="majorHAnsi" w:hAnsiTheme="majorHAnsi" w:cs="Segoe UI"/>
        </w:rPr>
        <w:t>).</w:t>
      </w:r>
    </w:p>
    <w:p w14:paraId="19664064" w14:textId="112650B1" w:rsidR="005A1126" w:rsidRPr="000A5998" w:rsidRDefault="00127E72" w:rsidP="000A5998">
      <w:pPr>
        <w:ind w:left="360"/>
        <w:rPr>
          <w:rFonts w:asciiTheme="majorHAnsi" w:hAnsiTheme="majorHAnsi" w:cs="Segoe UI"/>
        </w:rPr>
      </w:pPr>
      <w:r w:rsidRPr="000A5998">
        <w:rPr>
          <w:rFonts w:asciiTheme="majorHAnsi" w:hAnsiTheme="majorHAnsi" w:cs="Segoe UI"/>
        </w:rPr>
        <w:t xml:space="preserve">There are some potential positive impacts that can arise from trade agreements that address commercial determinants of health. </w:t>
      </w:r>
      <w:r w:rsidR="007902C7" w:rsidRPr="000A5998">
        <w:rPr>
          <w:rFonts w:asciiTheme="majorHAnsi" w:hAnsiTheme="majorHAnsi" w:cs="Segoe UI"/>
        </w:rPr>
        <w:t>Free Trade Agreements (FTAs) have been linked to positive health outcomes, with NAFTA reducing commodity prices in Mexico by up to 50% and boosting life expectancy from 72.4 years in 1994 to 76.7 years in 2014, while the USA's exports to Chile skyrocketed by over 500% after an FTA in 2004. Moreover, increased economic growth and trade volume from FTAs have contributed to enhanced healthcare spending and increased welfare, reducing inequality and almost elimina</w:t>
      </w:r>
      <w:r w:rsidR="001B11D4" w:rsidRPr="000A5998">
        <w:rPr>
          <w:rFonts w:asciiTheme="majorHAnsi" w:hAnsiTheme="majorHAnsi" w:cs="Segoe UI"/>
        </w:rPr>
        <w:t>ting poverty in certain regions</w:t>
      </w:r>
      <w:r w:rsidR="00E8577E" w:rsidRPr="000A5998">
        <w:rPr>
          <w:rFonts w:asciiTheme="majorHAnsi" w:hAnsiTheme="majorHAnsi" w:cs="Segoe UI"/>
        </w:rPr>
        <w:t xml:space="preserve"> </w:t>
      </w:r>
      <w:r w:rsidR="001B11D4" w:rsidRPr="000A5998">
        <w:rPr>
          <w:rFonts w:asciiTheme="majorHAnsi" w:hAnsiTheme="majorHAnsi" w:cs="Segoe UI"/>
        </w:rPr>
        <w:t>(</w:t>
      </w:r>
      <w:r w:rsidR="00BB736F">
        <w:rPr>
          <w:rFonts w:asciiTheme="majorHAnsi" w:hAnsiTheme="majorHAnsi" w:cs="Segoe UI"/>
        </w:rPr>
        <w:fldChar w:fldCharType="begin"/>
      </w:r>
      <w:r w:rsidR="00BB736F">
        <w:rPr>
          <w:rFonts w:asciiTheme="majorHAnsi" w:hAnsiTheme="majorHAnsi" w:cs="Segoe UI"/>
        </w:rPr>
        <w:instrText xml:space="preserve"> REF _Ref143786308 \r \h </w:instrText>
      </w:r>
      <w:r w:rsidR="00BB736F">
        <w:rPr>
          <w:rFonts w:asciiTheme="majorHAnsi" w:hAnsiTheme="majorHAnsi" w:cs="Segoe UI"/>
        </w:rPr>
      </w:r>
      <w:r w:rsidR="00BB736F">
        <w:rPr>
          <w:rFonts w:asciiTheme="majorHAnsi" w:hAnsiTheme="majorHAnsi" w:cs="Segoe UI"/>
        </w:rPr>
        <w:fldChar w:fldCharType="separate"/>
      </w:r>
      <w:r w:rsidR="00BB736F">
        <w:rPr>
          <w:rFonts w:asciiTheme="majorHAnsi" w:hAnsiTheme="majorHAnsi" w:cs="Segoe UI"/>
        </w:rPr>
        <w:t>21</w:t>
      </w:r>
      <w:r w:rsidR="00BB736F">
        <w:rPr>
          <w:rFonts w:asciiTheme="majorHAnsi" w:hAnsiTheme="majorHAnsi" w:cs="Segoe UI"/>
        </w:rPr>
        <w:fldChar w:fldCharType="end"/>
      </w:r>
      <w:r w:rsidR="00E8577E" w:rsidRPr="000A5998">
        <w:rPr>
          <w:rFonts w:asciiTheme="majorHAnsi" w:hAnsiTheme="majorHAnsi" w:cs="Segoe UI"/>
        </w:rPr>
        <w:t>)</w:t>
      </w:r>
      <w:r w:rsidR="001B11D4" w:rsidRPr="000A5998">
        <w:rPr>
          <w:rFonts w:asciiTheme="majorHAnsi" w:hAnsiTheme="majorHAnsi" w:cs="Segoe UI"/>
        </w:rPr>
        <w:t>.</w:t>
      </w:r>
      <w:r w:rsidR="00E8577E" w:rsidRPr="000A5998">
        <w:rPr>
          <w:rFonts w:asciiTheme="majorHAnsi" w:hAnsiTheme="majorHAnsi" w:cs="Segoe UI"/>
        </w:rPr>
        <w:t xml:space="preserve"> </w:t>
      </w:r>
    </w:p>
    <w:p w14:paraId="7E112A42" w14:textId="021829D2" w:rsidR="00A8584A" w:rsidRPr="000A5998" w:rsidRDefault="00D43D13" w:rsidP="000A5998">
      <w:pPr>
        <w:ind w:left="360"/>
        <w:rPr>
          <w:rFonts w:asciiTheme="majorHAnsi" w:hAnsiTheme="majorHAnsi" w:cs="Segoe UI"/>
        </w:rPr>
      </w:pPr>
      <w:r w:rsidRPr="000A5998">
        <w:rPr>
          <w:rFonts w:asciiTheme="majorHAnsi" w:hAnsiTheme="majorHAnsi" w:cs="Browallia New"/>
          <w:lang w:val="en-US" w:bidi="th-TH"/>
        </w:rPr>
        <w:t>T</w:t>
      </w:r>
      <w:r w:rsidR="005223EF" w:rsidRPr="000A5998">
        <w:rPr>
          <w:rFonts w:asciiTheme="majorHAnsi" w:hAnsiTheme="majorHAnsi" w:cs="Segoe UI"/>
        </w:rPr>
        <w:t xml:space="preserve">here is a shift towards renewable energy sources, such as wind and solar power </w:t>
      </w:r>
      <w:r w:rsidR="008B187C" w:rsidRPr="000A5998">
        <w:rPr>
          <w:rFonts w:asciiTheme="majorHAnsi" w:hAnsiTheme="majorHAnsi" w:cs="Segoe UI"/>
        </w:rPr>
        <w:t>that</w:t>
      </w:r>
      <w:r w:rsidR="005223EF" w:rsidRPr="000A5998">
        <w:rPr>
          <w:rFonts w:asciiTheme="majorHAnsi" w:hAnsiTheme="majorHAnsi" w:cs="Segoe UI"/>
        </w:rPr>
        <w:t xml:space="preserve"> reduce greenhouse gas emissions and mitigate climate change. </w:t>
      </w:r>
      <w:r w:rsidR="006C7837" w:rsidRPr="000A5998">
        <w:rPr>
          <w:rFonts w:asciiTheme="majorHAnsi" w:hAnsiTheme="majorHAnsi" w:cs="Segoe UI"/>
        </w:rPr>
        <w:t xml:space="preserve">This also includes nuclear </w:t>
      </w:r>
      <w:r w:rsidR="00784825" w:rsidRPr="000A5998">
        <w:rPr>
          <w:rFonts w:asciiTheme="majorHAnsi" w:hAnsiTheme="majorHAnsi" w:cs="Segoe UI"/>
        </w:rPr>
        <w:t>power that</w:t>
      </w:r>
      <w:r w:rsidR="00A738E3" w:rsidRPr="000A5998">
        <w:rPr>
          <w:rFonts w:asciiTheme="majorHAnsi" w:hAnsiTheme="majorHAnsi" w:cs="Segoe UI"/>
        </w:rPr>
        <w:t>,</w:t>
      </w:r>
      <w:r w:rsidR="006C7837" w:rsidRPr="000A5998">
        <w:rPr>
          <w:rFonts w:asciiTheme="majorHAnsi" w:hAnsiTheme="majorHAnsi" w:cs="Segoe UI"/>
        </w:rPr>
        <w:t xml:space="preserve"> as of 2021, contributes to about 10% of the world's electrical power</w:t>
      </w:r>
      <w:r w:rsidR="002D1FCD" w:rsidRPr="000A5998">
        <w:rPr>
          <w:rFonts w:asciiTheme="majorHAnsi" w:hAnsiTheme="majorHAnsi" w:cs="Segoe UI"/>
        </w:rPr>
        <w:t xml:space="preserve"> (</w:t>
      </w:r>
      <w:r w:rsidR="00BB736F">
        <w:rPr>
          <w:rFonts w:asciiTheme="majorHAnsi" w:hAnsiTheme="majorHAnsi" w:cs="Segoe UI"/>
        </w:rPr>
        <w:fldChar w:fldCharType="begin"/>
      </w:r>
      <w:r w:rsidR="00BB736F">
        <w:rPr>
          <w:rFonts w:asciiTheme="majorHAnsi" w:hAnsiTheme="majorHAnsi" w:cs="Segoe UI"/>
        </w:rPr>
        <w:instrText xml:space="preserve"> REF _Ref143786353 \r \h </w:instrText>
      </w:r>
      <w:r w:rsidR="00BB736F">
        <w:rPr>
          <w:rFonts w:asciiTheme="majorHAnsi" w:hAnsiTheme="majorHAnsi" w:cs="Segoe UI"/>
        </w:rPr>
      </w:r>
      <w:r w:rsidR="00BB736F">
        <w:rPr>
          <w:rFonts w:asciiTheme="majorHAnsi" w:hAnsiTheme="majorHAnsi" w:cs="Segoe UI"/>
        </w:rPr>
        <w:fldChar w:fldCharType="separate"/>
      </w:r>
      <w:r w:rsidR="00BB736F">
        <w:rPr>
          <w:rFonts w:asciiTheme="majorHAnsi" w:hAnsiTheme="majorHAnsi" w:cs="Segoe UI"/>
        </w:rPr>
        <w:t>22</w:t>
      </w:r>
      <w:r w:rsidR="00BB736F">
        <w:rPr>
          <w:rFonts w:asciiTheme="majorHAnsi" w:hAnsiTheme="majorHAnsi" w:cs="Segoe UI"/>
        </w:rPr>
        <w:fldChar w:fldCharType="end"/>
      </w:r>
      <w:r w:rsidR="00730412" w:rsidRPr="000A5998">
        <w:rPr>
          <w:rFonts w:asciiTheme="majorHAnsi" w:hAnsiTheme="majorHAnsi" w:cs="Segoe UI"/>
        </w:rPr>
        <w:t>)</w:t>
      </w:r>
      <w:r w:rsidR="00551C80" w:rsidRPr="000A5998">
        <w:rPr>
          <w:rFonts w:asciiTheme="majorHAnsi" w:hAnsiTheme="majorHAnsi" w:cs="Segoe UI"/>
        </w:rPr>
        <w:t xml:space="preserve"> Although nuclear power possesses the potential to cause significant devastation as a weapon, the likelihood of a nuclear catastrophe occurring is comparatively minimal (</w:t>
      </w:r>
      <w:r w:rsidR="00BB736F">
        <w:rPr>
          <w:rFonts w:asciiTheme="majorHAnsi" w:hAnsiTheme="majorHAnsi" w:cs="Segoe UI"/>
        </w:rPr>
        <w:fldChar w:fldCharType="begin"/>
      </w:r>
      <w:r w:rsidR="00BB736F">
        <w:rPr>
          <w:rFonts w:asciiTheme="majorHAnsi" w:hAnsiTheme="majorHAnsi" w:cs="Segoe UI"/>
        </w:rPr>
        <w:instrText xml:space="preserve"> REF _Ref143786366 \r \h </w:instrText>
      </w:r>
      <w:r w:rsidR="00BB736F">
        <w:rPr>
          <w:rFonts w:asciiTheme="majorHAnsi" w:hAnsiTheme="majorHAnsi" w:cs="Segoe UI"/>
        </w:rPr>
      </w:r>
      <w:r w:rsidR="00BB736F">
        <w:rPr>
          <w:rFonts w:asciiTheme="majorHAnsi" w:hAnsiTheme="majorHAnsi" w:cs="Segoe UI"/>
        </w:rPr>
        <w:fldChar w:fldCharType="separate"/>
      </w:r>
      <w:r w:rsidR="00BB736F">
        <w:rPr>
          <w:rFonts w:asciiTheme="majorHAnsi" w:hAnsiTheme="majorHAnsi" w:cs="Segoe UI"/>
        </w:rPr>
        <w:t>23</w:t>
      </w:r>
      <w:r w:rsidR="00BB736F">
        <w:rPr>
          <w:rFonts w:asciiTheme="majorHAnsi" w:hAnsiTheme="majorHAnsi" w:cs="Segoe UI"/>
        </w:rPr>
        <w:fldChar w:fldCharType="end"/>
      </w:r>
      <w:r w:rsidR="00551C80" w:rsidRPr="000A5998">
        <w:rPr>
          <w:rFonts w:asciiTheme="majorHAnsi" w:hAnsiTheme="majorHAnsi" w:cs="Segoe UI"/>
        </w:rPr>
        <w:t>)</w:t>
      </w:r>
      <w:r w:rsidR="00730412" w:rsidRPr="000A5998">
        <w:rPr>
          <w:rFonts w:asciiTheme="majorHAnsi" w:hAnsiTheme="majorHAnsi" w:cs="Segoe UI"/>
        </w:rPr>
        <w:t xml:space="preserve">. </w:t>
      </w:r>
      <w:r w:rsidR="005223EF" w:rsidRPr="000A5998">
        <w:rPr>
          <w:rFonts w:asciiTheme="majorHAnsi" w:hAnsiTheme="majorHAnsi" w:cs="Segoe UI"/>
        </w:rPr>
        <w:t>Geopolitical cooperation and investment in these technologies can facilitate their adoption and deployment. For example, the International Solar Alliance, a coalition of more than 120 countries led by India, aims to increase the use of solar energy and reduce the cost of solar power in member countries. (</w:t>
      </w:r>
      <w:r w:rsidR="003B08BA">
        <w:rPr>
          <w:rFonts w:asciiTheme="majorHAnsi" w:hAnsiTheme="majorHAnsi" w:cs="Segoe UI"/>
        </w:rPr>
        <w:fldChar w:fldCharType="begin"/>
      </w:r>
      <w:r w:rsidR="003B08BA">
        <w:rPr>
          <w:rFonts w:asciiTheme="majorHAnsi" w:hAnsiTheme="majorHAnsi" w:cs="Segoe UI"/>
        </w:rPr>
        <w:instrText xml:space="preserve"> REF _Ref143786442 \r \h </w:instrText>
      </w:r>
      <w:r w:rsidR="003B08BA">
        <w:rPr>
          <w:rFonts w:asciiTheme="majorHAnsi" w:hAnsiTheme="majorHAnsi" w:cs="Segoe UI"/>
        </w:rPr>
      </w:r>
      <w:r w:rsidR="003B08BA">
        <w:rPr>
          <w:rFonts w:asciiTheme="majorHAnsi" w:hAnsiTheme="majorHAnsi" w:cs="Segoe UI"/>
        </w:rPr>
        <w:fldChar w:fldCharType="separate"/>
      </w:r>
      <w:r w:rsidR="003B08BA">
        <w:rPr>
          <w:rFonts w:asciiTheme="majorHAnsi" w:hAnsiTheme="majorHAnsi" w:cs="Segoe UI"/>
        </w:rPr>
        <w:t>24</w:t>
      </w:r>
      <w:r w:rsidR="003B08BA">
        <w:rPr>
          <w:rFonts w:asciiTheme="majorHAnsi" w:hAnsiTheme="majorHAnsi" w:cs="Segoe UI"/>
        </w:rPr>
        <w:fldChar w:fldCharType="end"/>
      </w:r>
      <w:r w:rsidR="005223EF" w:rsidRPr="000A5998">
        <w:rPr>
          <w:rFonts w:asciiTheme="majorHAnsi" w:hAnsiTheme="majorHAnsi" w:cs="Segoe UI"/>
        </w:rPr>
        <w:t xml:space="preserve">). </w:t>
      </w:r>
      <w:r w:rsidR="0043260E" w:rsidRPr="000A5998">
        <w:rPr>
          <w:rFonts w:asciiTheme="majorHAnsi" w:hAnsiTheme="majorHAnsi" w:cs="Segoe UI"/>
        </w:rPr>
        <w:t xml:space="preserve"> </w:t>
      </w:r>
      <w:r w:rsidR="00A8584A" w:rsidRPr="000A5998">
        <w:rPr>
          <w:rFonts w:asciiTheme="majorHAnsi" w:hAnsiTheme="majorHAnsi" w:cs="Segoe UI"/>
        </w:rPr>
        <w:t>A nationwide transition to electric vehicles (EVs) in the United States could lead to significant health benefits, according to a report by the American Lung Association. The report suggests that replacing gasoline vehicles with zero-emission vehicles could prevent 110,000 premature deaths, avert 2.8 million asthma attacks, and eliminate 13.4 million sick days by 2050, alongside a 92% reduction in greenhouse gas emissions.</w:t>
      </w:r>
      <w:r w:rsidR="000D56C5" w:rsidRPr="000A5998">
        <w:rPr>
          <w:rFonts w:asciiTheme="majorHAnsi" w:hAnsiTheme="majorHAnsi" w:cs="Segoe UI"/>
        </w:rPr>
        <w:t xml:space="preserve"> </w:t>
      </w:r>
      <w:r w:rsidR="00A8584A" w:rsidRPr="000A5998">
        <w:rPr>
          <w:rFonts w:asciiTheme="majorHAnsi" w:hAnsiTheme="majorHAnsi" w:cs="Segoe UI"/>
        </w:rPr>
        <w:t>This transition could result in public health cost savings of $1.2 trillion over the next three decades</w:t>
      </w:r>
      <w:r w:rsidR="000D56C5" w:rsidRPr="000A5998">
        <w:rPr>
          <w:rFonts w:asciiTheme="majorHAnsi" w:hAnsiTheme="majorHAnsi" w:cs="Segoe UI"/>
        </w:rPr>
        <w:t xml:space="preserve"> (</w:t>
      </w:r>
      <w:r w:rsidR="008258D7">
        <w:rPr>
          <w:rFonts w:asciiTheme="majorHAnsi" w:hAnsiTheme="majorHAnsi" w:cs="Segoe UI"/>
        </w:rPr>
        <w:fldChar w:fldCharType="begin"/>
      </w:r>
      <w:r w:rsidR="008258D7">
        <w:rPr>
          <w:rFonts w:asciiTheme="majorHAnsi" w:hAnsiTheme="majorHAnsi" w:cs="Segoe UI"/>
        </w:rPr>
        <w:instrText xml:space="preserve"> REF _Ref143786514 \r \h </w:instrText>
      </w:r>
      <w:r w:rsidR="008258D7">
        <w:rPr>
          <w:rFonts w:asciiTheme="majorHAnsi" w:hAnsiTheme="majorHAnsi" w:cs="Segoe UI"/>
        </w:rPr>
      </w:r>
      <w:r w:rsidR="008258D7">
        <w:rPr>
          <w:rFonts w:asciiTheme="majorHAnsi" w:hAnsiTheme="majorHAnsi" w:cs="Segoe UI"/>
        </w:rPr>
        <w:fldChar w:fldCharType="separate"/>
      </w:r>
      <w:r w:rsidR="008258D7">
        <w:rPr>
          <w:rFonts w:asciiTheme="majorHAnsi" w:hAnsiTheme="majorHAnsi" w:cs="Segoe UI"/>
        </w:rPr>
        <w:t>25</w:t>
      </w:r>
      <w:r w:rsidR="008258D7">
        <w:rPr>
          <w:rFonts w:asciiTheme="majorHAnsi" w:hAnsiTheme="majorHAnsi" w:cs="Segoe UI"/>
        </w:rPr>
        <w:fldChar w:fldCharType="end"/>
      </w:r>
      <w:r w:rsidR="000D56C5" w:rsidRPr="000A5998">
        <w:rPr>
          <w:rFonts w:asciiTheme="majorHAnsi" w:hAnsiTheme="majorHAnsi" w:cs="Segoe UI"/>
        </w:rPr>
        <w:t>)</w:t>
      </w:r>
      <w:r w:rsidR="00A8584A" w:rsidRPr="000A5998">
        <w:rPr>
          <w:rFonts w:asciiTheme="majorHAnsi" w:hAnsiTheme="majorHAnsi" w:cs="Segoe UI"/>
        </w:rPr>
        <w:t>.</w:t>
      </w:r>
    </w:p>
    <w:p w14:paraId="601C8CBC" w14:textId="7D196452" w:rsidR="00541993" w:rsidRPr="000A5998" w:rsidRDefault="00E157E1" w:rsidP="000A5998">
      <w:pPr>
        <w:spacing w:before="120" w:after="120"/>
        <w:ind w:left="360"/>
        <w:jc w:val="both"/>
        <w:rPr>
          <w:rFonts w:asciiTheme="majorHAnsi" w:hAnsiTheme="majorHAnsi" w:cstheme="majorHAnsi"/>
          <w:shd w:val="clear" w:color="auto" w:fill="FFFFFF"/>
        </w:rPr>
      </w:pPr>
      <w:r w:rsidRPr="000A5998">
        <w:rPr>
          <w:rFonts w:asciiTheme="majorHAnsi" w:hAnsiTheme="majorHAnsi" w:cstheme="majorHAnsi"/>
          <w:lang w:val="en-US"/>
        </w:rPr>
        <w:t xml:space="preserve">The growing influence of non-state actors, specifically </w:t>
      </w:r>
      <w:proofErr w:type="spellStart"/>
      <w:r w:rsidRPr="000A5998">
        <w:rPr>
          <w:rFonts w:asciiTheme="majorHAnsi" w:hAnsiTheme="majorHAnsi" w:cstheme="majorHAnsi"/>
          <w:lang w:val="en-US"/>
        </w:rPr>
        <w:t>philanthrocapitalists</w:t>
      </w:r>
      <w:proofErr w:type="spellEnd"/>
      <w:r w:rsidRPr="000A5998">
        <w:rPr>
          <w:rFonts w:asciiTheme="majorHAnsi" w:hAnsiTheme="majorHAnsi" w:cstheme="majorHAnsi"/>
          <w:lang w:val="en-US"/>
        </w:rPr>
        <w:t xml:space="preserve"> and philanthropic foundations, is undeniable in the realm of national and global health governance. These actors hold significant power to shape the world health agenda through substantial funding and transnational networks. In fact, certain foundations possess budgets that exceed those of certain nations and even the World Health Organization (WHO). </w:t>
      </w:r>
      <w:r w:rsidR="00EA1752" w:rsidRPr="000A5998">
        <w:rPr>
          <w:rFonts w:asciiTheme="majorHAnsi" w:hAnsiTheme="majorHAnsi" w:cstheme="majorHAnsi"/>
          <w:lang w:val="en-US"/>
        </w:rPr>
        <w:t xml:space="preserve">Furthermore, there are concerns of imbalance in global governance decision-making and undermining of multilateralism through increasing private sector representation on global health partnership boards and various </w:t>
      </w:r>
      <w:proofErr w:type="spellStart"/>
      <w:r w:rsidR="00EA1752" w:rsidRPr="000A5998">
        <w:rPr>
          <w:rFonts w:asciiTheme="majorHAnsi" w:hAnsiTheme="majorHAnsi" w:cstheme="majorHAnsi"/>
          <w:lang w:val="en-US"/>
        </w:rPr>
        <w:t>multistakeholder</w:t>
      </w:r>
      <w:proofErr w:type="spellEnd"/>
      <w:r w:rsidR="00EA1752" w:rsidRPr="000A5998">
        <w:rPr>
          <w:rFonts w:asciiTheme="majorHAnsi" w:hAnsiTheme="majorHAnsi" w:cstheme="majorHAnsi"/>
          <w:lang w:val="en-US"/>
        </w:rPr>
        <w:t xml:space="preserve"> initiatives (</w:t>
      </w:r>
      <w:r w:rsidR="002E66F3">
        <w:rPr>
          <w:rFonts w:asciiTheme="majorHAnsi" w:hAnsiTheme="majorHAnsi" w:cstheme="majorHAnsi"/>
          <w:lang w:val="en-US"/>
        </w:rPr>
        <w:fldChar w:fldCharType="begin"/>
      </w:r>
      <w:r w:rsidR="002E66F3">
        <w:rPr>
          <w:rFonts w:asciiTheme="majorHAnsi" w:hAnsiTheme="majorHAnsi" w:cstheme="majorHAnsi"/>
          <w:lang w:val="en-US"/>
        </w:rPr>
        <w:instrText xml:space="preserve"> REF _Ref143786659 \r \h </w:instrText>
      </w:r>
      <w:r w:rsidR="002E66F3">
        <w:rPr>
          <w:rFonts w:asciiTheme="majorHAnsi" w:hAnsiTheme="majorHAnsi" w:cstheme="majorHAnsi"/>
          <w:lang w:val="en-US"/>
        </w:rPr>
      </w:r>
      <w:r w:rsidR="002E66F3">
        <w:rPr>
          <w:rFonts w:asciiTheme="majorHAnsi" w:hAnsiTheme="majorHAnsi" w:cstheme="majorHAnsi"/>
          <w:lang w:val="en-US"/>
        </w:rPr>
        <w:fldChar w:fldCharType="separate"/>
      </w:r>
      <w:r w:rsidR="002E66F3">
        <w:rPr>
          <w:rFonts w:asciiTheme="majorHAnsi" w:hAnsiTheme="majorHAnsi" w:cstheme="majorHAnsi"/>
          <w:lang w:val="en-US"/>
        </w:rPr>
        <w:t>26</w:t>
      </w:r>
      <w:r w:rsidR="002E66F3">
        <w:rPr>
          <w:rFonts w:asciiTheme="majorHAnsi" w:hAnsiTheme="majorHAnsi" w:cstheme="majorHAnsi"/>
          <w:lang w:val="en-US"/>
        </w:rPr>
        <w:fldChar w:fldCharType="end"/>
      </w:r>
      <w:r w:rsidR="002E66F3">
        <w:rPr>
          <w:rFonts w:asciiTheme="majorHAnsi" w:hAnsiTheme="majorHAnsi" w:cstheme="majorHAnsi"/>
          <w:lang w:val="en-US"/>
        </w:rPr>
        <w:t>)</w:t>
      </w:r>
      <w:r w:rsidR="00EA1752" w:rsidRPr="000A5998">
        <w:rPr>
          <w:rFonts w:asciiTheme="majorHAnsi" w:hAnsiTheme="majorHAnsi" w:cstheme="majorHAnsi"/>
          <w:lang w:val="en-US"/>
        </w:rPr>
        <w:t xml:space="preserve">. Examples of action and strategies by governments and civil society to address the capture of global governance by corporates and their foundations, will be presented. </w:t>
      </w:r>
    </w:p>
    <w:p w14:paraId="2DFFF2BF" w14:textId="286D43B3" w:rsidR="00F321C4" w:rsidRPr="000A5998" w:rsidRDefault="00F321C4" w:rsidP="000A5998">
      <w:pPr>
        <w:spacing w:before="120" w:after="120"/>
        <w:ind w:left="360"/>
        <w:jc w:val="both"/>
        <w:rPr>
          <w:rFonts w:asciiTheme="majorHAnsi" w:hAnsiTheme="majorHAnsi" w:cstheme="majorHAnsi"/>
          <w:shd w:val="clear" w:color="auto" w:fill="FFFFFF"/>
        </w:rPr>
      </w:pPr>
      <w:r w:rsidRPr="000A5998">
        <w:rPr>
          <w:rFonts w:asciiTheme="majorHAnsi" w:hAnsiTheme="majorHAnsi" w:cstheme="majorHAnsi"/>
          <w:lang w:val="en-US"/>
        </w:rPr>
        <w:t xml:space="preserve">It is also important to note that a comprehensive approach to addressing </w:t>
      </w:r>
      <w:proofErr w:type="spellStart"/>
      <w:r w:rsidRPr="000A5998">
        <w:rPr>
          <w:rFonts w:asciiTheme="majorHAnsi" w:hAnsiTheme="majorHAnsi" w:cstheme="majorHAnsi"/>
          <w:lang w:val="en-US"/>
        </w:rPr>
        <w:t>CDoH</w:t>
      </w:r>
      <w:proofErr w:type="spellEnd"/>
      <w:r w:rsidRPr="000A5998">
        <w:rPr>
          <w:rFonts w:asciiTheme="majorHAnsi" w:hAnsiTheme="majorHAnsi" w:cstheme="majorHAnsi"/>
          <w:lang w:val="en-US"/>
        </w:rPr>
        <w:t xml:space="preserve"> would require structural reforms beyond action on specific corporations. For example, in the case of promoting breastfeeding, ensuring that parents have access to adequate maternal or paternal leave and quality care services is necessary, as well as increasing public financing and addressing the misalignment between private and public interests (</w:t>
      </w:r>
      <w:r w:rsidR="002E66F3">
        <w:rPr>
          <w:rFonts w:asciiTheme="majorHAnsi" w:hAnsiTheme="majorHAnsi" w:cstheme="majorHAnsi"/>
          <w:lang w:val="en-US"/>
        </w:rPr>
        <w:fldChar w:fldCharType="begin"/>
      </w:r>
      <w:r w:rsidR="002E66F3">
        <w:rPr>
          <w:rFonts w:asciiTheme="majorHAnsi" w:hAnsiTheme="majorHAnsi" w:cstheme="majorHAnsi"/>
          <w:lang w:val="en-US"/>
        </w:rPr>
        <w:instrText xml:space="preserve"> REF _Ref143786773 \r \h </w:instrText>
      </w:r>
      <w:r w:rsidR="002E66F3">
        <w:rPr>
          <w:rFonts w:asciiTheme="majorHAnsi" w:hAnsiTheme="majorHAnsi" w:cstheme="majorHAnsi"/>
          <w:lang w:val="en-US"/>
        </w:rPr>
      </w:r>
      <w:r w:rsidR="002E66F3">
        <w:rPr>
          <w:rFonts w:asciiTheme="majorHAnsi" w:hAnsiTheme="majorHAnsi" w:cstheme="majorHAnsi"/>
          <w:lang w:val="en-US"/>
        </w:rPr>
        <w:fldChar w:fldCharType="separate"/>
      </w:r>
      <w:r w:rsidR="002E66F3">
        <w:rPr>
          <w:rFonts w:asciiTheme="majorHAnsi" w:hAnsiTheme="majorHAnsi" w:cstheme="majorHAnsi"/>
          <w:lang w:val="en-US"/>
        </w:rPr>
        <w:t>27</w:t>
      </w:r>
      <w:r w:rsidR="002E66F3">
        <w:rPr>
          <w:rFonts w:asciiTheme="majorHAnsi" w:hAnsiTheme="majorHAnsi" w:cstheme="majorHAnsi"/>
          <w:lang w:val="en-US"/>
        </w:rPr>
        <w:fldChar w:fldCharType="end"/>
      </w:r>
      <w:r w:rsidRPr="000A5998">
        <w:rPr>
          <w:rFonts w:asciiTheme="majorHAnsi" w:hAnsiTheme="majorHAnsi" w:cstheme="majorHAnsi"/>
          <w:lang w:val="en-US"/>
        </w:rPr>
        <w:t>).</w:t>
      </w:r>
    </w:p>
    <w:p w14:paraId="1271ED4F" w14:textId="49F2F476" w:rsidR="001C35C7" w:rsidRPr="000A5998" w:rsidRDefault="00053AFE" w:rsidP="000A5998">
      <w:pPr>
        <w:spacing w:before="120" w:after="120"/>
        <w:ind w:left="360"/>
        <w:jc w:val="both"/>
        <w:rPr>
          <w:rFonts w:asciiTheme="majorHAnsi" w:hAnsiTheme="majorHAnsi"/>
          <w:szCs w:val="28"/>
          <w:lang w:val="en-US" w:bidi="th-TH"/>
        </w:rPr>
      </w:pPr>
      <w:r w:rsidRPr="000A5998">
        <w:rPr>
          <w:rFonts w:asciiTheme="majorHAnsi" w:hAnsiTheme="majorHAnsi" w:cstheme="majorHAnsi"/>
          <w:lang w:val="en-US"/>
        </w:rPr>
        <w:t xml:space="preserve">There are some civil society alliances trying to balance and deal with perceived crucial issues. One such organization is NCD alliance </w:t>
      </w:r>
      <w:r w:rsidRPr="000A5998">
        <w:rPr>
          <w:rFonts w:asciiTheme="majorHAnsi" w:hAnsiTheme="majorHAnsi" w:cstheme="majorHAnsi"/>
        </w:rPr>
        <w:t>founded in 2009 with a robust global network of more than 2,000 organisations in 170 countries to combat NCDs.  There are also t</w:t>
      </w:r>
      <w:r w:rsidRPr="000A5998">
        <w:rPr>
          <w:rFonts w:asciiTheme="majorHAnsi" w:hAnsiTheme="majorHAnsi" w:cstheme="majorHAnsi"/>
          <w:lang w:val="en-US"/>
        </w:rPr>
        <w:t xml:space="preserve">he Global Alliance for Tobacco Control (GATC), whose mission is to unite and serve as the voice of civil society to accelerate implementation of the WHO Framework Convention on Tobacco Control (FCTC), while integrating </w:t>
      </w:r>
      <w:r w:rsidRPr="000A5998">
        <w:rPr>
          <w:rFonts w:asciiTheme="majorHAnsi" w:hAnsiTheme="majorHAnsi" w:cstheme="majorHAnsi"/>
          <w:lang w:val="en-US"/>
        </w:rPr>
        <w:lastRenderedPageBreak/>
        <w:t xml:space="preserve">tobacco control in the global health and development agendas.  </w:t>
      </w:r>
      <w:r w:rsidR="005534BE" w:rsidRPr="000A5998">
        <w:rPr>
          <w:rFonts w:asciiTheme="majorHAnsi" w:hAnsiTheme="majorHAnsi" w:cstheme="majorHAnsi"/>
          <w:lang w:val="en-US"/>
        </w:rPr>
        <w:t>For the planetary health, the Planetary Health Alliance has a mission to promote, m</w:t>
      </w:r>
      <w:r w:rsidR="002E66F3">
        <w:rPr>
          <w:rFonts w:asciiTheme="majorHAnsi" w:hAnsiTheme="majorHAnsi" w:cstheme="majorHAnsi"/>
          <w:lang w:val="en-US"/>
        </w:rPr>
        <w:t xml:space="preserve">obilize, and lead an inclusive, </w:t>
      </w:r>
      <w:proofErr w:type="gramStart"/>
      <w:r w:rsidR="005534BE" w:rsidRPr="000A5998">
        <w:rPr>
          <w:rFonts w:asciiTheme="majorHAnsi" w:hAnsiTheme="majorHAnsi" w:cstheme="majorHAnsi"/>
          <w:lang w:val="en-US"/>
        </w:rPr>
        <w:t>trans</w:t>
      </w:r>
      <w:proofErr w:type="gramEnd"/>
      <w:r w:rsidR="005534BE" w:rsidRPr="000A5998">
        <w:rPr>
          <w:rFonts w:asciiTheme="majorHAnsi" w:hAnsiTheme="majorHAnsi" w:cstheme="majorHAnsi"/>
          <w:lang w:val="en-US"/>
        </w:rPr>
        <w:t xml:space="preserve"> disciplinary field of Planetary Health and its diverse science, stories, solutions, and communities to achieve the Great Transition, a comprehensive shift in how human beings interact with each other and Nature. There is also the </w:t>
      </w:r>
      <w:r w:rsidR="00C43B23" w:rsidRPr="000A5998">
        <w:rPr>
          <w:rFonts w:asciiTheme="majorHAnsi" w:hAnsiTheme="majorHAnsi"/>
          <w:szCs w:val="28"/>
          <w:lang w:val="en-US" w:bidi="th-TH"/>
        </w:rPr>
        <w:t xml:space="preserve">Peace Alliance </w:t>
      </w:r>
      <w:r w:rsidR="001C35C7" w:rsidRPr="000A5998">
        <w:rPr>
          <w:rFonts w:asciiTheme="majorHAnsi" w:hAnsiTheme="majorHAnsi"/>
          <w:szCs w:val="28"/>
          <w:lang w:val="en-US" w:bidi="th-TH"/>
        </w:rPr>
        <w:t>whose mission is to educate, advocate, and mobilize people into action to transform systems and public policy toward a culture of peace.</w:t>
      </w:r>
    </w:p>
    <w:p w14:paraId="02C0EA31" w14:textId="1BAD74F2" w:rsidR="00053AFE" w:rsidRPr="000A5998" w:rsidRDefault="00F93F68" w:rsidP="000A5998">
      <w:pPr>
        <w:spacing w:before="120" w:after="120"/>
        <w:ind w:left="360"/>
        <w:jc w:val="both"/>
        <w:rPr>
          <w:rFonts w:asciiTheme="majorHAnsi" w:hAnsiTheme="majorHAnsi" w:cstheme="majorHAnsi"/>
          <w:lang w:val="en-US"/>
        </w:rPr>
      </w:pPr>
      <w:r w:rsidRPr="000A5998">
        <w:rPr>
          <w:rFonts w:asciiTheme="majorHAnsi" w:hAnsiTheme="majorHAnsi" w:cstheme="majorHAnsi"/>
          <w:lang w:val="en-US"/>
        </w:rPr>
        <w:t xml:space="preserve">Social movements can </w:t>
      </w:r>
      <w:r w:rsidR="00D57475" w:rsidRPr="000A5998">
        <w:rPr>
          <w:rFonts w:asciiTheme="majorHAnsi" w:hAnsiTheme="majorHAnsi" w:cstheme="majorHAnsi"/>
          <w:lang w:val="en-US"/>
        </w:rPr>
        <w:t>advocate in the</w:t>
      </w:r>
      <w:r w:rsidR="00053AFE" w:rsidRPr="000A5998">
        <w:rPr>
          <w:rFonts w:asciiTheme="majorHAnsi" w:hAnsiTheme="majorHAnsi" w:cstheme="majorHAnsi"/>
          <w:lang w:val="en-US"/>
        </w:rPr>
        <w:t xml:space="preserve"> interest</w:t>
      </w:r>
      <w:r w:rsidRPr="000A5998">
        <w:rPr>
          <w:rFonts w:asciiTheme="majorHAnsi" w:hAnsiTheme="majorHAnsi" w:cstheme="majorHAnsi"/>
          <w:lang w:val="en-US"/>
        </w:rPr>
        <w:t>s</w:t>
      </w:r>
      <w:r w:rsidR="00053AFE" w:rsidRPr="000A5998">
        <w:rPr>
          <w:rFonts w:asciiTheme="majorHAnsi" w:hAnsiTheme="majorHAnsi" w:cstheme="majorHAnsi"/>
          <w:lang w:val="en-US"/>
        </w:rPr>
        <w:t xml:space="preserve"> of grassroots and LMIC</w:t>
      </w:r>
      <w:r w:rsidRPr="000A5998">
        <w:rPr>
          <w:rFonts w:asciiTheme="majorHAnsi" w:hAnsiTheme="majorHAnsi" w:cstheme="majorHAnsi"/>
          <w:lang w:val="en-US"/>
        </w:rPr>
        <w:t xml:space="preserve">s. For </w:t>
      </w:r>
      <w:r w:rsidR="00994AFD" w:rsidRPr="000A5998">
        <w:rPr>
          <w:rFonts w:asciiTheme="majorHAnsi" w:hAnsiTheme="majorHAnsi" w:cstheme="majorHAnsi"/>
          <w:lang w:val="en-US"/>
        </w:rPr>
        <w:t>example,</w:t>
      </w:r>
      <w:r w:rsidR="00053AFE" w:rsidRPr="000A5998">
        <w:rPr>
          <w:rFonts w:asciiTheme="majorHAnsi" w:hAnsiTheme="majorHAnsi" w:cstheme="majorHAnsi"/>
          <w:lang w:val="en-US"/>
        </w:rPr>
        <w:t xml:space="preserve"> </w:t>
      </w:r>
      <w:r w:rsidR="00053AFE" w:rsidRPr="000A5998">
        <w:rPr>
          <w:rFonts w:asciiTheme="majorHAnsi" w:hAnsiTheme="majorHAnsi" w:cstheme="majorHAnsi"/>
        </w:rPr>
        <w:t xml:space="preserve">the People’s Health Movement (PHM) is </w:t>
      </w:r>
      <w:r w:rsidR="00053AFE" w:rsidRPr="000A5998">
        <w:rPr>
          <w:rFonts w:asciiTheme="majorHAnsi" w:hAnsiTheme="majorHAnsi" w:cstheme="majorHAnsi"/>
          <w:lang w:val="en-US"/>
        </w:rPr>
        <w:t>a global network bringing together grassroots health activists, civil society organizations (CSO) and academic institutions from around 70 countries, particularly from low</w:t>
      </w:r>
      <w:r w:rsidR="00193BBD" w:rsidRPr="000A5998">
        <w:rPr>
          <w:rFonts w:asciiTheme="majorHAnsi" w:hAnsiTheme="majorHAnsi" w:cstheme="majorHAnsi"/>
          <w:lang w:val="en-US"/>
        </w:rPr>
        <w:t>-</w:t>
      </w:r>
      <w:r w:rsidR="00053AFE" w:rsidRPr="000A5998">
        <w:rPr>
          <w:rFonts w:asciiTheme="majorHAnsi" w:hAnsiTheme="majorHAnsi" w:cstheme="majorHAnsi"/>
          <w:lang w:val="en-US"/>
        </w:rPr>
        <w:t>and middle</w:t>
      </w:r>
      <w:r w:rsidR="00193BBD" w:rsidRPr="000A5998">
        <w:rPr>
          <w:rFonts w:asciiTheme="majorHAnsi" w:hAnsiTheme="majorHAnsi" w:cstheme="majorHAnsi"/>
          <w:lang w:val="en-US"/>
        </w:rPr>
        <w:t>-</w:t>
      </w:r>
      <w:r w:rsidR="00053AFE" w:rsidRPr="000A5998">
        <w:rPr>
          <w:rFonts w:asciiTheme="majorHAnsi" w:hAnsiTheme="majorHAnsi" w:cstheme="majorHAnsi"/>
          <w:lang w:val="en-US"/>
        </w:rPr>
        <w:t xml:space="preserve">income countries (L&amp;MIC) to work on Comprehensive Primary Health Care and addressing the Social, Environmental and Economic Determinants of Health.  </w:t>
      </w:r>
      <w:r w:rsidR="00A54E50" w:rsidRPr="000A5998">
        <w:rPr>
          <w:rFonts w:asciiTheme="majorHAnsi" w:hAnsiTheme="majorHAnsi" w:cstheme="majorHAnsi"/>
          <w:lang w:val="en-US"/>
        </w:rPr>
        <w:t>The youth movement in social participation</w:t>
      </w:r>
      <w:r w:rsidR="00385A00" w:rsidRPr="000A5998">
        <w:rPr>
          <w:rFonts w:asciiTheme="majorHAnsi" w:hAnsiTheme="majorHAnsi" w:cstheme="majorHAnsi"/>
          <w:lang w:val="en-US"/>
        </w:rPr>
        <w:t xml:space="preserve"> is a driving force in this 21</w:t>
      </w:r>
      <w:r w:rsidR="00385A00" w:rsidRPr="000A5998">
        <w:rPr>
          <w:rFonts w:asciiTheme="majorHAnsi" w:hAnsiTheme="majorHAnsi" w:cstheme="majorHAnsi"/>
          <w:vertAlign w:val="superscript"/>
          <w:lang w:val="en-US"/>
        </w:rPr>
        <w:t>st</w:t>
      </w:r>
      <w:r w:rsidR="00385A00" w:rsidRPr="000A5998">
        <w:rPr>
          <w:rFonts w:asciiTheme="majorHAnsi" w:hAnsiTheme="majorHAnsi" w:cstheme="majorHAnsi"/>
          <w:lang w:val="en-US"/>
        </w:rPr>
        <w:t xml:space="preserve"> century. </w:t>
      </w:r>
      <w:r w:rsidR="00303501" w:rsidRPr="000A5998">
        <w:rPr>
          <w:rFonts w:asciiTheme="majorHAnsi" w:hAnsiTheme="majorHAnsi" w:cstheme="majorHAnsi"/>
          <w:lang w:val="en-US"/>
        </w:rPr>
        <w:t>The Youth Alliance for Environ</w:t>
      </w:r>
      <w:r w:rsidR="00B364F9" w:rsidRPr="000A5998">
        <w:rPr>
          <w:rFonts w:asciiTheme="majorHAnsi" w:hAnsiTheme="majorHAnsi" w:cstheme="majorHAnsi"/>
          <w:lang w:val="en-US"/>
        </w:rPr>
        <w:t>ment's (YAE), for example,</w:t>
      </w:r>
      <w:r w:rsidR="00303501" w:rsidRPr="000A5998">
        <w:rPr>
          <w:rFonts w:asciiTheme="majorHAnsi" w:hAnsiTheme="majorHAnsi" w:cstheme="majorHAnsi"/>
          <w:lang w:val="en-US"/>
        </w:rPr>
        <w:t xml:space="preserve"> demonstrated</w:t>
      </w:r>
      <w:r w:rsidR="00B364F9" w:rsidRPr="000A5998">
        <w:rPr>
          <w:rFonts w:asciiTheme="majorHAnsi" w:hAnsiTheme="majorHAnsi" w:cstheme="majorHAnsi"/>
          <w:lang w:val="en-US"/>
        </w:rPr>
        <w:t xml:space="preserve"> social participation</w:t>
      </w:r>
      <w:r w:rsidR="00303501" w:rsidRPr="000A5998">
        <w:rPr>
          <w:rFonts w:asciiTheme="majorHAnsi" w:hAnsiTheme="majorHAnsi" w:cstheme="majorHAnsi"/>
          <w:lang w:val="en-US"/>
        </w:rPr>
        <w:t xml:space="preserve"> through their proactive involvement in environmental conflict resolution, violence prevention, and empowering local communities with the necessary skills to address grassroots level conflicts in Kathmandu valley.</w:t>
      </w:r>
      <w:r w:rsidR="00A54E50" w:rsidRPr="000A5998">
        <w:rPr>
          <w:rFonts w:asciiTheme="majorHAnsi" w:hAnsiTheme="majorHAnsi" w:cstheme="majorHAnsi"/>
          <w:lang w:val="en-US"/>
        </w:rPr>
        <w:t xml:space="preserve"> </w:t>
      </w:r>
    </w:p>
    <w:p w14:paraId="708027C1" w14:textId="0895965E" w:rsidR="009160DE" w:rsidRPr="000A5998" w:rsidRDefault="009160DE" w:rsidP="000A5998">
      <w:pPr>
        <w:spacing w:before="120" w:after="120"/>
        <w:ind w:left="360"/>
        <w:jc w:val="both"/>
        <w:rPr>
          <w:rFonts w:asciiTheme="majorHAnsi" w:hAnsiTheme="majorHAnsi" w:cstheme="majorHAnsi"/>
          <w:lang w:val="en-US"/>
        </w:rPr>
      </w:pPr>
      <w:r w:rsidRPr="000A5998">
        <w:rPr>
          <w:rFonts w:asciiTheme="majorHAnsi" w:hAnsiTheme="majorHAnsi" w:cstheme="majorHAnsi"/>
          <w:lang w:val="en-US"/>
        </w:rPr>
        <w:t xml:space="preserve">Health promotion is a valuable approach to address the negative impacts of commercial determinants of health. One way to utilize health promotion for this purpose is by increasing awareness and education about the negative impacts of </w:t>
      </w:r>
      <w:proofErr w:type="spellStart"/>
      <w:r w:rsidR="000E0A16" w:rsidRPr="000A5998">
        <w:rPr>
          <w:rFonts w:asciiTheme="majorHAnsi" w:hAnsiTheme="majorHAnsi" w:cstheme="majorHAnsi"/>
          <w:lang w:val="en-US"/>
        </w:rPr>
        <w:t>CDoH</w:t>
      </w:r>
      <w:proofErr w:type="spellEnd"/>
      <w:r w:rsidRPr="000A5998">
        <w:rPr>
          <w:rFonts w:asciiTheme="majorHAnsi" w:hAnsiTheme="majorHAnsi" w:cstheme="majorHAnsi"/>
          <w:lang w:val="en-US"/>
        </w:rPr>
        <w:t>, such as unhealthy food marketing, and educating individuals and communities on how to make healthier choices.</w:t>
      </w:r>
      <w:r w:rsidR="006033EF" w:rsidRPr="000A5998">
        <w:rPr>
          <w:rFonts w:asciiTheme="majorHAnsi" w:hAnsiTheme="majorHAnsi" w:cstheme="majorHAnsi"/>
          <w:lang w:val="en-US"/>
        </w:rPr>
        <w:t xml:space="preserve"> For example, the C40 Food Systems Network supports cities to reduce carbon emissions and promote healthier, more sustainable diets. Cities like Copenhagen have developed food policies that prioritize plant-based foods, which are typically lower in carbon emissions and can contribute to healthier diets</w:t>
      </w:r>
      <w:r w:rsidR="00353B01" w:rsidRPr="000A5998">
        <w:rPr>
          <w:rFonts w:asciiTheme="majorHAnsi" w:hAnsiTheme="majorHAnsi" w:cstheme="majorHAnsi"/>
          <w:lang w:val="en-US"/>
        </w:rPr>
        <w:t xml:space="preserve"> </w:t>
      </w:r>
      <w:r w:rsidR="00353B01" w:rsidRPr="000A5998">
        <w:rPr>
          <w:rFonts w:asciiTheme="majorHAnsi" w:hAnsiTheme="majorHAnsi" w:hint="cs"/>
          <w:szCs w:val="28"/>
          <w:cs/>
          <w:lang w:val="en-US" w:bidi="th-TH"/>
        </w:rPr>
        <w:t>(</w:t>
      </w:r>
      <w:r w:rsidR="0000272C">
        <w:rPr>
          <w:rFonts w:asciiTheme="majorHAnsi" w:hAnsiTheme="majorHAnsi" w:cstheme="majorHAnsi"/>
          <w:lang w:val="en-US"/>
        </w:rPr>
        <w:fldChar w:fldCharType="begin"/>
      </w:r>
      <w:r w:rsidR="0000272C">
        <w:rPr>
          <w:rFonts w:asciiTheme="majorHAnsi" w:hAnsiTheme="majorHAnsi" w:cstheme="majorHAnsi"/>
          <w:lang w:val="en-US"/>
        </w:rPr>
        <w:instrText xml:space="preserve"> REF _Ref143786842 \r \h </w:instrText>
      </w:r>
      <w:r w:rsidR="0000272C">
        <w:rPr>
          <w:rFonts w:asciiTheme="majorHAnsi" w:hAnsiTheme="majorHAnsi" w:cstheme="majorHAnsi"/>
          <w:lang w:val="en-US"/>
        </w:rPr>
      </w:r>
      <w:r w:rsidR="0000272C">
        <w:rPr>
          <w:rFonts w:asciiTheme="majorHAnsi" w:hAnsiTheme="majorHAnsi" w:cstheme="majorHAnsi"/>
          <w:lang w:val="en-US"/>
        </w:rPr>
        <w:fldChar w:fldCharType="separate"/>
      </w:r>
      <w:r w:rsidR="0000272C">
        <w:rPr>
          <w:rFonts w:asciiTheme="majorHAnsi" w:hAnsiTheme="majorHAnsi" w:cstheme="majorHAnsi"/>
          <w:lang w:val="en-US"/>
        </w:rPr>
        <w:t>28</w:t>
      </w:r>
      <w:r w:rsidR="0000272C">
        <w:rPr>
          <w:rFonts w:asciiTheme="majorHAnsi" w:hAnsiTheme="majorHAnsi" w:cstheme="majorHAnsi"/>
          <w:lang w:val="en-US"/>
        </w:rPr>
        <w:fldChar w:fldCharType="end"/>
      </w:r>
      <w:r w:rsidR="00353B01" w:rsidRPr="000A5998">
        <w:rPr>
          <w:rFonts w:asciiTheme="majorHAnsi" w:hAnsiTheme="majorHAnsi" w:cstheme="majorHAnsi"/>
          <w:lang w:val="en-US"/>
        </w:rPr>
        <w:t>).</w:t>
      </w:r>
      <w:r w:rsidRPr="000A5998">
        <w:rPr>
          <w:rFonts w:asciiTheme="majorHAnsi" w:hAnsiTheme="majorHAnsi" w:cstheme="majorHAnsi"/>
          <w:lang w:val="en-US"/>
        </w:rPr>
        <w:t xml:space="preserve"> Another strategy is to create supportive environments that promote healthy behaviors, like increasing access to healthy foods and creating safe and walkable neighborhoods that encourage physical activity. Advocacy for policy change is another effective health promotion strategy to reduce the negative impacts of commercial determinants of health. This involves advocating for policies that promote healthy behaviors and limit unhealthy behaviors, such as increasing access to healthy foods or limiting unhealthy food marketing to children. Additionally, working with stakeholders, including policymakers, businesses, and community organizations, to develop and implement solutions can be an effective way to address these negative impacts</w:t>
      </w:r>
      <w:r w:rsidR="0000272C">
        <w:rPr>
          <w:rFonts w:asciiTheme="majorHAnsi" w:hAnsiTheme="majorHAnsi" w:cstheme="majorHAnsi"/>
          <w:lang w:val="en-US"/>
        </w:rPr>
        <w:t>.</w:t>
      </w:r>
      <w:r w:rsidRPr="000A5998">
        <w:rPr>
          <w:rFonts w:asciiTheme="majorHAnsi" w:hAnsiTheme="majorHAnsi" w:cstheme="majorHAnsi"/>
          <w:lang w:val="en-US"/>
        </w:rPr>
        <w:t xml:space="preserve"> Finally, health promotion can empower individuals and communities to take action to improve their own health and advocate for change in their environments. </w:t>
      </w:r>
      <w:r w:rsidR="001076B9" w:rsidRPr="000A5998">
        <w:rPr>
          <w:rFonts w:asciiTheme="majorHAnsi" w:hAnsiTheme="majorHAnsi" w:cstheme="majorHAnsi"/>
          <w:lang w:val="en-US"/>
        </w:rPr>
        <w:t>H</w:t>
      </w:r>
      <w:r w:rsidRPr="000A5998">
        <w:rPr>
          <w:rFonts w:asciiTheme="majorHAnsi" w:hAnsiTheme="majorHAnsi" w:cstheme="majorHAnsi"/>
          <w:lang w:val="en-US"/>
        </w:rPr>
        <w:t xml:space="preserve">ealth promotion </w:t>
      </w:r>
      <w:r w:rsidR="001076B9" w:rsidRPr="000A5998">
        <w:rPr>
          <w:rFonts w:asciiTheme="majorHAnsi" w:hAnsiTheme="majorHAnsi" w:cstheme="majorHAnsi"/>
          <w:lang w:val="en-US"/>
        </w:rPr>
        <w:t>is a</w:t>
      </w:r>
      <w:r w:rsidRPr="000A5998">
        <w:rPr>
          <w:rFonts w:asciiTheme="majorHAnsi" w:hAnsiTheme="majorHAnsi" w:cstheme="majorHAnsi"/>
          <w:lang w:val="en-US"/>
        </w:rPr>
        <w:t xml:space="preserve"> powerful tool for </w:t>
      </w:r>
      <w:r w:rsidR="00E443B1" w:rsidRPr="000A5998">
        <w:rPr>
          <w:rFonts w:asciiTheme="majorHAnsi" w:hAnsiTheme="majorHAnsi" w:cstheme="majorHAnsi"/>
          <w:lang w:val="en-US"/>
        </w:rPr>
        <w:t xml:space="preserve">counteracting </w:t>
      </w:r>
      <w:r w:rsidRPr="000A5998">
        <w:rPr>
          <w:rFonts w:asciiTheme="majorHAnsi" w:hAnsiTheme="majorHAnsi" w:cstheme="majorHAnsi"/>
          <w:lang w:val="en-US"/>
        </w:rPr>
        <w:t>the negative impacts of commercial determinants of health.</w:t>
      </w:r>
    </w:p>
    <w:p w14:paraId="3DE50F00" w14:textId="04C6AA0F" w:rsidR="00053AFE" w:rsidRPr="000A5998" w:rsidRDefault="00053AFE" w:rsidP="000A5998">
      <w:pPr>
        <w:spacing w:before="120" w:after="120"/>
        <w:ind w:left="360"/>
        <w:jc w:val="both"/>
        <w:rPr>
          <w:rFonts w:asciiTheme="majorHAnsi" w:hAnsiTheme="majorHAnsi" w:cstheme="majorHAnsi"/>
          <w:lang w:val="en-US"/>
        </w:rPr>
      </w:pPr>
      <w:r w:rsidRPr="000A5998">
        <w:rPr>
          <w:rFonts w:asciiTheme="majorHAnsi" w:hAnsiTheme="majorHAnsi" w:cstheme="majorHAnsi"/>
        </w:rPr>
        <w:t xml:space="preserve">To achieve expected health outcomes, it is essential not only </w:t>
      </w:r>
      <w:r w:rsidR="00E443B1" w:rsidRPr="000A5998">
        <w:rPr>
          <w:rFonts w:asciiTheme="majorHAnsi" w:hAnsiTheme="majorHAnsi" w:cstheme="majorHAnsi"/>
        </w:rPr>
        <w:t xml:space="preserve">to </w:t>
      </w:r>
      <w:r w:rsidRPr="000A5998">
        <w:rPr>
          <w:rFonts w:asciiTheme="majorHAnsi" w:hAnsiTheme="majorHAnsi" w:cstheme="majorHAnsi"/>
        </w:rPr>
        <w:t>form alliances at a global level but also garner support at the national level. This is where health councils/assemblies come into play, consisting of a diverse range of individuals such as CSOs, academics, service providers, and government officials. These councils have been developed in countries such as Brazil (1988), Thailand (2008), and Iran (2017), to serve as an additional tool to enhance the arena of health governance. By bringing together a variety of perspectives and expertise, these councils aim to improve the overall health system, ultimately benefiting the general population.</w:t>
      </w:r>
      <w:r w:rsidRPr="000A5998">
        <w:rPr>
          <w:rFonts w:asciiTheme="majorHAnsi" w:hAnsiTheme="majorHAnsi" w:cstheme="majorHAnsi"/>
          <w:lang w:val="en-US"/>
        </w:rPr>
        <w:t xml:space="preserve"> (</w:t>
      </w:r>
      <w:r w:rsidR="00C406C2">
        <w:rPr>
          <w:rFonts w:asciiTheme="majorHAnsi" w:hAnsiTheme="majorHAnsi" w:cstheme="majorHAnsi"/>
          <w:lang w:val="en-US"/>
        </w:rPr>
        <w:fldChar w:fldCharType="begin"/>
      </w:r>
      <w:r w:rsidR="00C406C2">
        <w:rPr>
          <w:rFonts w:asciiTheme="majorHAnsi" w:hAnsiTheme="majorHAnsi" w:cstheme="majorHAnsi"/>
          <w:lang w:val="en-US"/>
        </w:rPr>
        <w:instrText xml:space="preserve"> REF _Ref143787003 \r \h </w:instrText>
      </w:r>
      <w:r w:rsidR="00C406C2">
        <w:rPr>
          <w:rFonts w:asciiTheme="majorHAnsi" w:hAnsiTheme="majorHAnsi" w:cstheme="majorHAnsi"/>
          <w:lang w:val="en-US"/>
        </w:rPr>
      </w:r>
      <w:r w:rsidR="00C406C2">
        <w:rPr>
          <w:rFonts w:asciiTheme="majorHAnsi" w:hAnsiTheme="majorHAnsi" w:cstheme="majorHAnsi"/>
          <w:lang w:val="en-US"/>
        </w:rPr>
        <w:fldChar w:fldCharType="separate"/>
      </w:r>
      <w:r w:rsidR="00C406C2">
        <w:rPr>
          <w:rFonts w:asciiTheme="majorHAnsi" w:hAnsiTheme="majorHAnsi" w:cstheme="majorHAnsi"/>
          <w:lang w:val="en-US"/>
        </w:rPr>
        <w:t>29</w:t>
      </w:r>
      <w:r w:rsidR="00C406C2">
        <w:rPr>
          <w:rFonts w:asciiTheme="majorHAnsi" w:hAnsiTheme="majorHAnsi" w:cstheme="majorHAnsi"/>
          <w:lang w:val="en-US"/>
        </w:rPr>
        <w:fldChar w:fldCharType="end"/>
      </w:r>
      <w:r w:rsidRPr="000A5998">
        <w:rPr>
          <w:rFonts w:asciiTheme="majorHAnsi" w:hAnsiTheme="majorHAnsi" w:cstheme="majorHAnsi"/>
          <w:lang w:val="en-US"/>
        </w:rPr>
        <w:t xml:space="preserve">). The way forward is then to discuss whether these present movements are enough or what else </w:t>
      </w:r>
      <w:r w:rsidR="00887971" w:rsidRPr="000A5998">
        <w:rPr>
          <w:rFonts w:asciiTheme="majorHAnsi" w:hAnsiTheme="majorHAnsi" w:cstheme="majorHAnsi"/>
          <w:lang w:val="en-US"/>
        </w:rPr>
        <w:t>we</w:t>
      </w:r>
      <w:r w:rsidRPr="000A5998">
        <w:rPr>
          <w:rFonts w:asciiTheme="majorHAnsi" w:hAnsiTheme="majorHAnsi" w:cstheme="majorHAnsi"/>
          <w:lang w:val="en-US"/>
        </w:rPr>
        <w:t xml:space="preserve"> need to gear the global governance</w:t>
      </w:r>
      <w:r w:rsidR="00945C1B" w:rsidRPr="000A5998">
        <w:rPr>
          <w:rFonts w:asciiTheme="majorHAnsi" w:hAnsiTheme="majorHAnsi" w:cstheme="majorHAnsi"/>
          <w:lang w:val="en-US"/>
        </w:rPr>
        <w:t xml:space="preserve"> for health</w:t>
      </w:r>
      <w:r w:rsidRPr="000A5998">
        <w:rPr>
          <w:rFonts w:asciiTheme="majorHAnsi" w:hAnsiTheme="majorHAnsi" w:cstheme="majorHAnsi"/>
          <w:lang w:val="en-US"/>
        </w:rPr>
        <w:t xml:space="preserve"> in such a way we dream of. </w:t>
      </w:r>
    </w:p>
    <w:p w14:paraId="14E5E549" w14:textId="1414803E" w:rsidR="008F11CC" w:rsidRPr="00D86BA9" w:rsidRDefault="004D4A36" w:rsidP="00D43D13">
      <w:pPr>
        <w:spacing w:before="120" w:after="120"/>
        <w:jc w:val="both"/>
        <w:rPr>
          <w:rFonts w:asciiTheme="majorHAnsi" w:hAnsiTheme="majorHAnsi" w:cstheme="majorHAnsi"/>
          <w:lang w:val="en-US"/>
        </w:rPr>
      </w:pPr>
      <w:r w:rsidRPr="00D86BA9">
        <w:rPr>
          <w:rFonts w:asciiTheme="majorHAnsi" w:hAnsiTheme="majorHAnsi" w:cstheme="majorHAnsi"/>
          <w:lang w:val="en-US"/>
        </w:rPr>
        <w:t>So all this will lead to the following objectives: suggest to add the objectives that were shown on your slide deck here</w:t>
      </w:r>
    </w:p>
    <w:p w14:paraId="140C8D73" w14:textId="77777777" w:rsidR="008F11CC" w:rsidRPr="00D86BA9" w:rsidRDefault="008F11CC" w:rsidP="00D43D13">
      <w:pPr>
        <w:spacing w:before="120" w:after="120"/>
        <w:jc w:val="both"/>
        <w:rPr>
          <w:rFonts w:asciiTheme="majorHAnsi" w:hAnsiTheme="majorHAnsi" w:cstheme="majorHAnsi"/>
          <w:lang w:val="en-US"/>
        </w:rPr>
      </w:pPr>
    </w:p>
    <w:p w14:paraId="322BB300" w14:textId="11DBAECC" w:rsidR="00787DA4" w:rsidRPr="00D86BA9" w:rsidRDefault="00341996" w:rsidP="00341996">
      <w:pPr>
        <w:pStyle w:val="ListParagraph"/>
        <w:numPr>
          <w:ilvl w:val="0"/>
          <w:numId w:val="5"/>
        </w:numPr>
        <w:spacing w:before="120" w:after="120"/>
        <w:jc w:val="both"/>
        <w:rPr>
          <w:rFonts w:asciiTheme="majorHAnsi" w:hAnsiTheme="majorHAnsi" w:cstheme="majorHAnsi"/>
          <w:b/>
          <w:bCs/>
          <w:lang w:val="en-US"/>
        </w:rPr>
      </w:pPr>
      <w:r w:rsidRPr="00D86BA9">
        <w:rPr>
          <w:rFonts w:asciiTheme="majorHAnsi" w:hAnsiTheme="majorHAnsi" w:cstheme="majorHAnsi"/>
          <w:b/>
          <w:bCs/>
          <w:lang w:val="en-US"/>
        </w:rPr>
        <w:lastRenderedPageBreak/>
        <w:t>Format</w:t>
      </w:r>
      <w:r w:rsidR="008F11CC" w:rsidRPr="00D86BA9">
        <w:rPr>
          <w:rFonts w:asciiTheme="majorHAnsi" w:hAnsiTheme="majorHAnsi" w:cstheme="majorHAnsi"/>
          <w:b/>
          <w:bCs/>
          <w:lang w:val="en-US"/>
        </w:rPr>
        <w:t xml:space="preserve"> </w:t>
      </w:r>
      <w:r w:rsidR="0029000C" w:rsidRPr="00D86BA9">
        <w:rPr>
          <w:rFonts w:asciiTheme="majorHAnsi" w:hAnsiTheme="majorHAnsi" w:cstheme="majorHAnsi"/>
          <w:b/>
          <w:bCs/>
          <w:lang w:val="en-US"/>
        </w:rPr>
        <w:t xml:space="preserve">of the session: </w:t>
      </w:r>
      <w:r w:rsidR="00EF48F6" w:rsidRPr="00D86BA9">
        <w:rPr>
          <w:rFonts w:asciiTheme="majorHAnsi" w:hAnsiTheme="majorHAnsi" w:cstheme="majorHAnsi"/>
          <w:b/>
          <w:bCs/>
          <w:lang w:val="en-US"/>
        </w:rPr>
        <w:t xml:space="preserve">1.30 hours </w:t>
      </w:r>
    </w:p>
    <w:p w14:paraId="63188374" w14:textId="3B01174C" w:rsidR="00341996" w:rsidRPr="00D86BA9" w:rsidRDefault="00341996" w:rsidP="00D86BA9">
      <w:pPr>
        <w:spacing w:before="120" w:after="120"/>
        <w:jc w:val="both"/>
        <w:rPr>
          <w:rFonts w:asciiTheme="majorHAnsi" w:hAnsiTheme="majorHAnsi" w:cstheme="majorHAnsi"/>
          <w:lang w:val="en-US"/>
        </w:rPr>
      </w:pPr>
      <w:r w:rsidRPr="00D86BA9">
        <w:rPr>
          <w:rFonts w:asciiTheme="majorHAnsi" w:hAnsiTheme="majorHAnsi" w:cstheme="majorHAnsi"/>
          <w:lang w:val="en-US"/>
        </w:rPr>
        <w:t xml:space="preserve"> </w:t>
      </w:r>
    </w:p>
    <w:p w14:paraId="3E77EC28" w14:textId="77777777" w:rsidR="00341996" w:rsidRPr="00D86BA9" w:rsidRDefault="00341996" w:rsidP="00341996">
      <w:pPr>
        <w:pStyle w:val="ListParagraph"/>
        <w:numPr>
          <w:ilvl w:val="0"/>
          <w:numId w:val="8"/>
        </w:numPr>
        <w:spacing w:before="120" w:after="120"/>
        <w:jc w:val="both"/>
        <w:rPr>
          <w:rFonts w:asciiTheme="majorHAnsi" w:hAnsiTheme="majorHAnsi" w:cstheme="majorHAnsi"/>
          <w:lang w:val="en-US"/>
        </w:rPr>
      </w:pPr>
      <w:r w:rsidRPr="00D86BA9">
        <w:rPr>
          <w:rFonts w:asciiTheme="majorHAnsi" w:hAnsiTheme="majorHAnsi" w:cstheme="majorHAnsi"/>
          <w:lang w:val="en-US"/>
        </w:rPr>
        <w:t xml:space="preserve">15 minutes of an introduction with a strong intervention by a keynote speaker </w:t>
      </w:r>
    </w:p>
    <w:p w14:paraId="19AB8D68" w14:textId="77777777" w:rsidR="00341996" w:rsidRPr="00D86BA9" w:rsidRDefault="00341996" w:rsidP="00341996">
      <w:pPr>
        <w:pStyle w:val="ListParagraph"/>
        <w:numPr>
          <w:ilvl w:val="0"/>
          <w:numId w:val="8"/>
        </w:numPr>
        <w:spacing w:before="120" w:after="120"/>
        <w:jc w:val="both"/>
        <w:rPr>
          <w:rFonts w:asciiTheme="majorHAnsi" w:hAnsiTheme="majorHAnsi" w:cstheme="majorHAnsi"/>
          <w:lang w:val="en-US"/>
        </w:rPr>
      </w:pPr>
      <w:r w:rsidRPr="00D86BA9">
        <w:rPr>
          <w:rFonts w:asciiTheme="majorHAnsi" w:hAnsiTheme="majorHAnsi" w:cstheme="majorHAnsi"/>
          <w:lang w:val="en-US"/>
        </w:rPr>
        <w:t>50 minutes of a discussion on different themes by 4 panelists</w:t>
      </w:r>
    </w:p>
    <w:p w14:paraId="655C7E35" w14:textId="77777777" w:rsidR="00341996" w:rsidRPr="00D86BA9" w:rsidRDefault="00341996" w:rsidP="00341996">
      <w:pPr>
        <w:pStyle w:val="ListParagraph"/>
        <w:numPr>
          <w:ilvl w:val="0"/>
          <w:numId w:val="8"/>
        </w:numPr>
        <w:spacing w:before="120" w:after="120"/>
        <w:jc w:val="both"/>
        <w:rPr>
          <w:rFonts w:asciiTheme="majorHAnsi" w:hAnsiTheme="majorHAnsi" w:cstheme="majorHAnsi"/>
          <w:lang w:val="en-US"/>
        </w:rPr>
      </w:pPr>
      <w:r w:rsidRPr="00D86BA9">
        <w:rPr>
          <w:rFonts w:asciiTheme="majorHAnsi" w:hAnsiTheme="majorHAnsi" w:cstheme="majorHAnsi"/>
          <w:lang w:val="en-US"/>
        </w:rPr>
        <w:t xml:space="preserve">25 minutes of Q&amp;A </w:t>
      </w:r>
    </w:p>
    <w:p w14:paraId="36A499D0" w14:textId="77777777" w:rsidR="00BD160B" w:rsidRDefault="00BD160B" w:rsidP="002E127F">
      <w:pPr>
        <w:pStyle w:val="ListParagraph"/>
        <w:spacing w:before="120" w:after="120"/>
        <w:ind w:left="1440"/>
        <w:jc w:val="both"/>
        <w:rPr>
          <w:rFonts w:asciiTheme="majorHAnsi" w:hAnsiTheme="majorHAnsi" w:cstheme="majorHAnsi"/>
          <w:b/>
          <w:bCs/>
          <w:lang w:val="en-US"/>
        </w:rPr>
      </w:pPr>
    </w:p>
    <w:p w14:paraId="40259331" w14:textId="77777777" w:rsidR="00D86BA9" w:rsidRDefault="00D86BA9" w:rsidP="002E127F">
      <w:pPr>
        <w:pStyle w:val="ListParagraph"/>
        <w:spacing w:before="120" w:after="120"/>
        <w:ind w:left="1440"/>
        <w:jc w:val="both"/>
        <w:rPr>
          <w:rFonts w:asciiTheme="majorHAnsi" w:hAnsiTheme="majorHAnsi" w:cstheme="majorHAnsi"/>
          <w:b/>
          <w:bCs/>
          <w:lang w:val="en-US"/>
        </w:rPr>
      </w:pPr>
    </w:p>
    <w:p w14:paraId="7C8C9A6F" w14:textId="77777777" w:rsidR="00D86BA9" w:rsidRDefault="00D86BA9" w:rsidP="002E127F">
      <w:pPr>
        <w:pStyle w:val="ListParagraph"/>
        <w:spacing w:before="120" w:after="120"/>
        <w:ind w:left="1440"/>
        <w:jc w:val="both"/>
        <w:rPr>
          <w:rFonts w:asciiTheme="majorHAnsi" w:hAnsiTheme="majorHAnsi" w:cstheme="majorHAnsi"/>
          <w:b/>
          <w:bCs/>
          <w:lang w:val="en-US"/>
        </w:rPr>
      </w:pPr>
    </w:p>
    <w:p w14:paraId="390D9A26" w14:textId="77777777" w:rsidR="00D86BA9" w:rsidRDefault="00D86BA9" w:rsidP="002E127F">
      <w:pPr>
        <w:pStyle w:val="ListParagraph"/>
        <w:spacing w:before="120" w:after="120"/>
        <w:ind w:left="1440"/>
        <w:jc w:val="both"/>
        <w:rPr>
          <w:rFonts w:asciiTheme="majorHAnsi" w:hAnsiTheme="majorHAnsi" w:cstheme="majorHAnsi"/>
          <w:b/>
          <w:bCs/>
          <w:lang w:val="en-US"/>
        </w:rPr>
      </w:pPr>
    </w:p>
    <w:p w14:paraId="59DF672A" w14:textId="77777777" w:rsidR="00D86BA9" w:rsidRDefault="00D86BA9" w:rsidP="002E127F">
      <w:pPr>
        <w:pStyle w:val="ListParagraph"/>
        <w:spacing w:before="120" w:after="120"/>
        <w:ind w:left="1440"/>
        <w:jc w:val="both"/>
        <w:rPr>
          <w:rFonts w:asciiTheme="majorHAnsi" w:hAnsiTheme="majorHAnsi" w:cstheme="majorHAnsi"/>
          <w:b/>
          <w:bCs/>
          <w:lang w:val="en-US"/>
        </w:rPr>
      </w:pPr>
    </w:p>
    <w:p w14:paraId="6A859B69" w14:textId="77777777" w:rsidR="00D86BA9" w:rsidRPr="00D86BA9" w:rsidRDefault="00D86BA9" w:rsidP="002E127F">
      <w:pPr>
        <w:pStyle w:val="ListParagraph"/>
        <w:spacing w:before="120" w:after="120"/>
        <w:ind w:left="1440"/>
        <w:jc w:val="both"/>
        <w:rPr>
          <w:rFonts w:asciiTheme="majorHAnsi" w:hAnsiTheme="majorHAnsi" w:cstheme="majorHAnsi"/>
          <w:b/>
          <w:bCs/>
          <w:lang w:val="en-US"/>
        </w:rPr>
      </w:pPr>
    </w:p>
    <w:p w14:paraId="47E14855" w14:textId="0C16EB98" w:rsidR="0035533D" w:rsidRPr="00D86BA9" w:rsidRDefault="0035533D" w:rsidP="002E127F">
      <w:pPr>
        <w:pStyle w:val="ListParagraph"/>
        <w:numPr>
          <w:ilvl w:val="0"/>
          <w:numId w:val="5"/>
        </w:numPr>
        <w:jc w:val="both"/>
        <w:rPr>
          <w:rFonts w:asciiTheme="majorHAnsi" w:hAnsiTheme="majorHAnsi" w:cstheme="majorHAnsi"/>
          <w:b/>
          <w:bCs/>
          <w:lang w:val="en-US"/>
        </w:rPr>
      </w:pPr>
      <w:r w:rsidRPr="00D86BA9">
        <w:rPr>
          <w:rFonts w:asciiTheme="majorHAnsi" w:hAnsiTheme="majorHAnsi" w:cstheme="majorHAnsi"/>
          <w:b/>
          <w:bCs/>
          <w:lang w:val="en-US"/>
        </w:rPr>
        <w:t>Proposed Panelists:</w:t>
      </w:r>
    </w:p>
    <w:p w14:paraId="0C917063" w14:textId="77777777" w:rsidR="002A7AF3" w:rsidRPr="002E66F3" w:rsidRDefault="002A7AF3" w:rsidP="002A7AF3">
      <w:pPr>
        <w:rPr>
          <w:rFonts w:asciiTheme="majorHAnsi" w:hAnsiTheme="majorHAnsi"/>
          <w:b/>
          <w:color w:val="000000" w:themeColor="text1"/>
        </w:rPr>
      </w:pPr>
      <w:r w:rsidRPr="00D86BA9">
        <w:rPr>
          <w:rFonts w:asciiTheme="majorHAnsi" w:hAnsiTheme="majorHAnsi"/>
          <w:b/>
        </w:rPr>
        <w:t>Keynote</w:t>
      </w:r>
      <w:r w:rsidRPr="00D86BA9">
        <w:rPr>
          <w:rFonts w:asciiTheme="majorHAnsi" w:eastAsia="Angsana New" w:hAnsiTheme="majorHAnsi" w:cs="Angsana New"/>
          <w:b/>
        </w:rPr>
        <w:t xml:space="preserve">: </w:t>
      </w:r>
      <w:r w:rsidRPr="002E66F3">
        <w:rPr>
          <w:rFonts w:asciiTheme="majorHAnsi" w:hAnsiTheme="majorHAnsi"/>
          <w:color w:val="000000" w:themeColor="text1"/>
        </w:rPr>
        <w:t>Lawrence O</w:t>
      </w:r>
      <w:r w:rsidRPr="002E66F3">
        <w:rPr>
          <w:rFonts w:asciiTheme="majorHAnsi" w:eastAsia="Angsana New" w:hAnsiTheme="majorHAnsi" w:cs="Angsana New"/>
          <w:color w:val="000000" w:themeColor="text1"/>
        </w:rPr>
        <w:t xml:space="preserve">. </w:t>
      </w:r>
      <w:proofErr w:type="spellStart"/>
      <w:r w:rsidRPr="002E66F3">
        <w:rPr>
          <w:rFonts w:asciiTheme="majorHAnsi" w:hAnsiTheme="majorHAnsi"/>
          <w:color w:val="000000" w:themeColor="text1"/>
        </w:rPr>
        <w:t>Gostin</w:t>
      </w:r>
      <w:proofErr w:type="spellEnd"/>
      <w:r w:rsidRPr="002E66F3">
        <w:rPr>
          <w:rFonts w:asciiTheme="majorHAnsi" w:hAnsiTheme="majorHAnsi"/>
          <w:color w:val="000000" w:themeColor="text1"/>
        </w:rPr>
        <w:t xml:space="preserve">, Global Health Institute </w:t>
      </w:r>
    </w:p>
    <w:p w14:paraId="42914175" w14:textId="77777777" w:rsidR="002A7AF3" w:rsidRPr="002E66F3" w:rsidRDefault="002A7AF3" w:rsidP="002A7AF3">
      <w:pPr>
        <w:rPr>
          <w:rFonts w:asciiTheme="majorHAnsi" w:hAnsiTheme="majorHAnsi"/>
          <w:b/>
          <w:color w:val="000000" w:themeColor="text1"/>
        </w:rPr>
      </w:pPr>
      <w:r w:rsidRPr="002E66F3">
        <w:rPr>
          <w:rFonts w:asciiTheme="majorHAnsi" w:hAnsiTheme="majorHAnsi"/>
          <w:b/>
          <w:color w:val="000000" w:themeColor="text1"/>
        </w:rPr>
        <w:t>Moderator</w:t>
      </w:r>
      <w:r w:rsidRPr="002E66F3">
        <w:rPr>
          <w:rFonts w:asciiTheme="majorHAnsi" w:eastAsia="Angsana New" w:hAnsiTheme="majorHAnsi" w:cs="Angsana New"/>
          <w:b/>
          <w:color w:val="000000" w:themeColor="text1"/>
        </w:rPr>
        <w:t>:</w:t>
      </w:r>
    </w:p>
    <w:p w14:paraId="598907E2" w14:textId="77777777" w:rsidR="002A7AF3" w:rsidRPr="00D86BA9" w:rsidRDefault="002A7AF3" w:rsidP="002A7AF3">
      <w:pPr>
        <w:numPr>
          <w:ilvl w:val="0"/>
          <w:numId w:val="14"/>
        </w:numPr>
        <w:pBdr>
          <w:top w:val="nil"/>
          <w:left w:val="nil"/>
          <w:bottom w:val="nil"/>
          <w:right w:val="nil"/>
          <w:between w:val="nil"/>
        </w:pBdr>
        <w:rPr>
          <w:rFonts w:asciiTheme="majorHAnsi" w:hAnsiTheme="majorHAnsi"/>
          <w:color w:val="000000"/>
        </w:rPr>
      </w:pPr>
      <w:r w:rsidRPr="00D86BA9">
        <w:rPr>
          <w:rFonts w:asciiTheme="majorHAnsi" w:hAnsiTheme="majorHAnsi"/>
          <w:color w:val="000000"/>
        </w:rPr>
        <w:t>Helen Clark</w:t>
      </w:r>
    </w:p>
    <w:p w14:paraId="790055E5" w14:textId="38E67FB5" w:rsidR="002A7AF3" w:rsidRPr="00D86BA9" w:rsidRDefault="002A7AF3" w:rsidP="002A7AF3">
      <w:pPr>
        <w:rPr>
          <w:rFonts w:asciiTheme="majorHAnsi" w:hAnsiTheme="majorHAnsi"/>
          <w:b/>
        </w:rPr>
      </w:pPr>
      <w:r w:rsidRPr="00D86BA9">
        <w:rPr>
          <w:rFonts w:asciiTheme="majorHAnsi" w:hAnsiTheme="majorHAnsi"/>
          <w:b/>
        </w:rPr>
        <w:t>Panelist</w:t>
      </w:r>
      <w:r w:rsidR="00CF1FD4">
        <w:rPr>
          <w:rFonts w:asciiTheme="majorHAnsi" w:hAnsiTheme="majorHAnsi"/>
          <w:b/>
        </w:rPr>
        <w:t>s</w:t>
      </w:r>
      <w:r w:rsidRPr="00D86BA9">
        <w:rPr>
          <w:rFonts w:asciiTheme="majorHAnsi" w:eastAsia="Angsana New" w:hAnsiTheme="majorHAnsi" w:cs="Angsana New"/>
          <w:b/>
        </w:rPr>
        <w:t xml:space="preserve">:  </w:t>
      </w:r>
    </w:p>
    <w:p w14:paraId="1CEC2881" w14:textId="77777777" w:rsidR="002A7AF3" w:rsidRPr="00D86BA9" w:rsidRDefault="002A7AF3" w:rsidP="002A7AF3">
      <w:pPr>
        <w:rPr>
          <w:rFonts w:asciiTheme="majorHAnsi" w:hAnsiTheme="majorHAnsi"/>
        </w:rPr>
      </w:pPr>
      <w:r w:rsidRPr="00D86BA9">
        <w:rPr>
          <w:rFonts w:asciiTheme="majorHAnsi" w:hAnsiTheme="majorHAnsi"/>
          <w:b/>
        </w:rPr>
        <w:t>Note</w:t>
      </w:r>
      <w:r w:rsidRPr="00D86BA9">
        <w:rPr>
          <w:rFonts w:asciiTheme="majorHAnsi" w:eastAsia="Angsana New" w:hAnsiTheme="majorHAnsi" w:cs="Angsana New"/>
          <w:b/>
        </w:rPr>
        <w:t>:</w:t>
      </w:r>
      <w:r w:rsidRPr="00D86BA9">
        <w:rPr>
          <w:rFonts w:asciiTheme="majorHAnsi" w:eastAsia="Angsana New" w:hAnsiTheme="majorHAnsi" w:cs="Angsana New"/>
        </w:rPr>
        <w:t xml:space="preserve"> </w:t>
      </w:r>
      <w:r w:rsidRPr="00D86BA9">
        <w:rPr>
          <w:rFonts w:asciiTheme="majorHAnsi" w:hAnsiTheme="majorHAnsi"/>
          <w:b/>
        </w:rPr>
        <w:t>Gender and geographical balance</w:t>
      </w:r>
      <w:r w:rsidRPr="00D86BA9">
        <w:rPr>
          <w:rFonts w:asciiTheme="majorHAnsi" w:hAnsiTheme="majorHAnsi"/>
        </w:rPr>
        <w:t xml:space="preserve"> of speakers from different </w:t>
      </w:r>
      <w:r w:rsidRPr="00D86BA9">
        <w:rPr>
          <w:rFonts w:asciiTheme="majorHAnsi" w:eastAsia="Angsana New" w:hAnsiTheme="majorHAnsi" w:cs="Angsana New"/>
        </w:rPr>
        <w:t>(</w:t>
      </w:r>
      <w:r w:rsidRPr="00D86BA9">
        <w:rPr>
          <w:rFonts w:asciiTheme="majorHAnsi" w:hAnsiTheme="majorHAnsi"/>
        </w:rPr>
        <w:t>need to identify from literatures</w:t>
      </w:r>
      <w:r w:rsidRPr="00D86BA9">
        <w:rPr>
          <w:rFonts w:asciiTheme="majorHAnsi" w:eastAsia="Angsana New" w:hAnsiTheme="majorHAnsi" w:cs="Angsana New"/>
        </w:rPr>
        <w:t xml:space="preserve">) </w:t>
      </w:r>
      <w:r w:rsidRPr="00D86BA9">
        <w:rPr>
          <w:rFonts w:asciiTheme="majorHAnsi" w:hAnsiTheme="majorHAnsi"/>
        </w:rPr>
        <w:t xml:space="preserve">and focus on both positive </w:t>
      </w:r>
      <w:r w:rsidRPr="00D86BA9">
        <w:rPr>
          <w:rFonts w:asciiTheme="majorHAnsi" w:eastAsia="Angsana New" w:hAnsiTheme="majorHAnsi" w:cs="Angsana New"/>
        </w:rPr>
        <w:t>(</w:t>
      </w:r>
      <w:r w:rsidRPr="00D86BA9">
        <w:rPr>
          <w:rFonts w:asciiTheme="majorHAnsi" w:hAnsiTheme="majorHAnsi"/>
        </w:rPr>
        <w:t>e</w:t>
      </w:r>
      <w:r w:rsidRPr="00D86BA9">
        <w:rPr>
          <w:rFonts w:asciiTheme="majorHAnsi" w:eastAsia="Angsana New" w:hAnsiTheme="majorHAnsi" w:cs="Angsana New"/>
        </w:rPr>
        <w:t>.</w:t>
      </w:r>
      <w:r w:rsidRPr="00D86BA9">
        <w:rPr>
          <w:rFonts w:asciiTheme="majorHAnsi" w:hAnsiTheme="majorHAnsi"/>
        </w:rPr>
        <w:t>g</w:t>
      </w:r>
      <w:r w:rsidRPr="00D86BA9">
        <w:rPr>
          <w:rFonts w:asciiTheme="majorHAnsi" w:eastAsia="Angsana New" w:hAnsiTheme="majorHAnsi" w:cs="Angsana New"/>
        </w:rPr>
        <w:t xml:space="preserve">. </w:t>
      </w:r>
      <w:r w:rsidRPr="00D86BA9">
        <w:rPr>
          <w:rFonts w:asciiTheme="majorHAnsi" w:hAnsiTheme="majorHAnsi"/>
        </w:rPr>
        <w:t>health</w:t>
      </w:r>
      <w:r w:rsidRPr="00D86BA9">
        <w:rPr>
          <w:rFonts w:asciiTheme="majorHAnsi" w:eastAsia="Angsana New" w:hAnsiTheme="majorHAnsi" w:cs="Angsana New"/>
        </w:rPr>
        <w:t>-</w:t>
      </w:r>
      <w:r w:rsidRPr="00D86BA9">
        <w:rPr>
          <w:rFonts w:asciiTheme="majorHAnsi" w:hAnsiTheme="majorHAnsi"/>
        </w:rPr>
        <w:t>need driven R&amp;D</w:t>
      </w:r>
      <w:r w:rsidRPr="00D86BA9">
        <w:rPr>
          <w:rFonts w:asciiTheme="majorHAnsi" w:eastAsia="Angsana New" w:hAnsiTheme="majorHAnsi" w:cs="Angsana New"/>
        </w:rPr>
        <w:t xml:space="preserve">) </w:t>
      </w:r>
      <w:r w:rsidRPr="00D86BA9">
        <w:rPr>
          <w:rFonts w:asciiTheme="majorHAnsi" w:hAnsiTheme="majorHAnsi"/>
        </w:rPr>
        <w:t xml:space="preserve">and negative influence </w:t>
      </w:r>
    </w:p>
    <w:p w14:paraId="2ADAAF83" w14:textId="77777777" w:rsidR="002A7AF3" w:rsidRPr="00482FEC" w:rsidRDefault="002A7AF3" w:rsidP="002A7AF3">
      <w:pPr>
        <w:numPr>
          <w:ilvl w:val="0"/>
          <w:numId w:val="15"/>
        </w:numPr>
        <w:pBdr>
          <w:top w:val="nil"/>
          <w:left w:val="nil"/>
          <w:bottom w:val="nil"/>
          <w:right w:val="nil"/>
          <w:between w:val="nil"/>
        </w:pBdr>
        <w:ind w:left="342"/>
        <w:rPr>
          <w:rFonts w:asciiTheme="majorHAnsi" w:hAnsiTheme="majorHAnsi"/>
          <w:bCs/>
          <w:color w:val="000000" w:themeColor="text1"/>
        </w:rPr>
      </w:pPr>
      <w:proofErr w:type="spellStart"/>
      <w:r w:rsidRPr="00482FEC">
        <w:rPr>
          <w:rFonts w:asciiTheme="majorHAnsi" w:hAnsiTheme="majorHAnsi"/>
          <w:bCs/>
          <w:color w:val="000000" w:themeColor="text1"/>
        </w:rPr>
        <w:t>Nason</w:t>
      </w:r>
      <w:proofErr w:type="spellEnd"/>
      <w:r w:rsidRPr="00482FEC">
        <w:rPr>
          <w:rFonts w:asciiTheme="majorHAnsi" w:hAnsiTheme="majorHAnsi"/>
          <w:bCs/>
          <w:color w:val="000000" w:themeColor="text1"/>
        </w:rPr>
        <w:t xml:space="preserve"> </w:t>
      </w:r>
      <w:proofErr w:type="spellStart"/>
      <w:r w:rsidRPr="00482FEC">
        <w:rPr>
          <w:rFonts w:asciiTheme="majorHAnsi" w:hAnsiTheme="majorHAnsi"/>
          <w:bCs/>
          <w:color w:val="000000" w:themeColor="text1"/>
        </w:rPr>
        <w:t>Maani</w:t>
      </w:r>
      <w:proofErr w:type="spellEnd"/>
      <w:r w:rsidRPr="00482FEC">
        <w:rPr>
          <w:rFonts w:asciiTheme="majorHAnsi" w:hAnsiTheme="majorHAnsi"/>
          <w:bCs/>
          <w:color w:val="000000" w:themeColor="text1"/>
        </w:rPr>
        <w:t>, Lecturer in Inequalities and Global Health Policy, University of Edinburgh, Scotland</w:t>
      </w:r>
      <w:r w:rsidRPr="00482FEC">
        <w:rPr>
          <w:rFonts w:asciiTheme="majorHAnsi" w:eastAsia="Angsana New" w:hAnsiTheme="majorHAnsi" w:cs="Angsana New"/>
          <w:bCs/>
          <w:color w:val="000000" w:themeColor="text1"/>
        </w:rPr>
        <w:t xml:space="preserve">. </w:t>
      </w:r>
      <w:hyperlink r:id="rId7">
        <w:r w:rsidRPr="00482FEC">
          <w:rPr>
            <w:rFonts w:asciiTheme="majorHAnsi" w:hAnsiTheme="majorHAnsi"/>
            <w:bCs/>
            <w:color w:val="000000" w:themeColor="text1"/>
            <w:u w:val="single"/>
          </w:rPr>
          <w:t>https</w:t>
        </w:r>
      </w:hyperlink>
      <w:hyperlink r:id="rId8">
        <w:proofErr w:type="gramStart"/>
        <w:r w:rsidRPr="00482FEC">
          <w:rPr>
            <w:rFonts w:asciiTheme="majorHAnsi" w:eastAsia="Angsana New" w:hAnsiTheme="majorHAnsi" w:cs="Angsana New"/>
            <w:bCs/>
            <w:color w:val="000000" w:themeColor="text1"/>
            <w:u w:val="single"/>
          </w:rPr>
          <w:t>:/</w:t>
        </w:r>
        <w:proofErr w:type="gramEnd"/>
        <w:r w:rsidRPr="00482FEC">
          <w:rPr>
            <w:rFonts w:asciiTheme="majorHAnsi" w:eastAsia="Angsana New" w:hAnsiTheme="majorHAnsi" w:cs="Angsana New"/>
            <w:bCs/>
            <w:color w:val="000000" w:themeColor="text1"/>
            <w:u w:val="single"/>
          </w:rPr>
          <w:t>/</w:t>
        </w:r>
      </w:hyperlink>
      <w:hyperlink r:id="rId9">
        <w:r w:rsidRPr="00482FEC">
          <w:rPr>
            <w:rFonts w:asciiTheme="majorHAnsi" w:hAnsiTheme="majorHAnsi"/>
            <w:bCs/>
            <w:color w:val="000000" w:themeColor="text1"/>
            <w:u w:val="single"/>
          </w:rPr>
          <w:t>www</w:t>
        </w:r>
      </w:hyperlink>
      <w:hyperlink r:id="rId10">
        <w:r w:rsidRPr="00482FEC">
          <w:rPr>
            <w:rFonts w:asciiTheme="majorHAnsi" w:eastAsia="Angsana New" w:hAnsiTheme="majorHAnsi" w:cs="Angsana New"/>
            <w:bCs/>
            <w:color w:val="000000" w:themeColor="text1"/>
            <w:u w:val="single"/>
          </w:rPr>
          <w:t>.</w:t>
        </w:r>
      </w:hyperlink>
      <w:hyperlink r:id="rId11">
        <w:r w:rsidRPr="00482FEC">
          <w:rPr>
            <w:rFonts w:asciiTheme="majorHAnsi" w:hAnsiTheme="majorHAnsi"/>
            <w:bCs/>
            <w:color w:val="000000" w:themeColor="text1"/>
            <w:u w:val="single"/>
          </w:rPr>
          <w:t>sps</w:t>
        </w:r>
      </w:hyperlink>
      <w:hyperlink r:id="rId12">
        <w:r w:rsidRPr="00482FEC">
          <w:rPr>
            <w:rFonts w:asciiTheme="majorHAnsi" w:eastAsia="Angsana New" w:hAnsiTheme="majorHAnsi" w:cs="Angsana New"/>
            <w:bCs/>
            <w:color w:val="000000" w:themeColor="text1"/>
            <w:u w:val="single"/>
          </w:rPr>
          <w:t>.</w:t>
        </w:r>
      </w:hyperlink>
      <w:hyperlink r:id="rId13">
        <w:r w:rsidRPr="00482FEC">
          <w:rPr>
            <w:rFonts w:asciiTheme="majorHAnsi" w:hAnsiTheme="majorHAnsi"/>
            <w:bCs/>
            <w:color w:val="000000" w:themeColor="text1"/>
            <w:u w:val="single"/>
          </w:rPr>
          <w:t>ed</w:t>
        </w:r>
      </w:hyperlink>
      <w:hyperlink r:id="rId14">
        <w:r w:rsidRPr="00482FEC">
          <w:rPr>
            <w:rFonts w:asciiTheme="majorHAnsi" w:eastAsia="Angsana New" w:hAnsiTheme="majorHAnsi" w:cs="Angsana New"/>
            <w:bCs/>
            <w:color w:val="000000" w:themeColor="text1"/>
            <w:u w:val="single"/>
          </w:rPr>
          <w:t>.</w:t>
        </w:r>
      </w:hyperlink>
      <w:hyperlink r:id="rId15">
        <w:r w:rsidRPr="00482FEC">
          <w:rPr>
            <w:rFonts w:asciiTheme="majorHAnsi" w:hAnsiTheme="majorHAnsi"/>
            <w:bCs/>
            <w:color w:val="000000" w:themeColor="text1"/>
            <w:u w:val="single"/>
          </w:rPr>
          <w:t>ac</w:t>
        </w:r>
      </w:hyperlink>
      <w:hyperlink r:id="rId16">
        <w:r w:rsidRPr="00482FEC">
          <w:rPr>
            <w:rFonts w:asciiTheme="majorHAnsi" w:eastAsia="Angsana New" w:hAnsiTheme="majorHAnsi" w:cs="Angsana New"/>
            <w:bCs/>
            <w:color w:val="000000" w:themeColor="text1"/>
            <w:u w:val="single"/>
          </w:rPr>
          <w:t>.</w:t>
        </w:r>
      </w:hyperlink>
      <w:hyperlink r:id="rId17">
        <w:r w:rsidRPr="00482FEC">
          <w:rPr>
            <w:rFonts w:asciiTheme="majorHAnsi" w:hAnsiTheme="majorHAnsi"/>
            <w:bCs/>
            <w:color w:val="000000" w:themeColor="text1"/>
            <w:u w:val="single"/>
          </w:rPr>
          <w:t>uk</w:t>
        </w:r>
      </w:hyperlink>
      <w:hyperlink r:id="rId18">
        <w:r w:rsidRPr="00482FEC">
          <w:rPr>
            <w:rFonts w:asciiTheme="majorHAnsi" w:eastAsia="Angsana New" w:hAnsiTheme="majorHAnsi" w:cs="Angsana New"/>
            <w:bCs/>
            <w:color w:val="000000" w:themeColor="text1"/>
            <w:u w:val="single"/>
          </w:rPr>
          <w:t>/</w:t>
        </w:r>
      </w:hyperlink>
      <w:hyperlink r:id="rId19">
        <w:r w:rsidRPr="00482FEC">
          <w:rPr>
            <w:rFonts w:asciiTheme="majorHAnsi" w:hAnsiTheme="majorHAnsi"/>
            <w:bCs/>
            <w:color w:val="000000" w:themeColor="text1"/>
            <w:u w:val="single"/>
          </w:rPr>
          <w:t>staff</w:t>
        </w:r>
      </w:hyperlink>
      <w:hyperlink r:id="rId20">
        <w:r w:rsidRPr="00482FEC">
          <w:rPr>
            <w:rFonts w:asciiTheme="majorHAnsi" w:eastAsia="Angsana New" w:hAnsiTheme="majorHAnsi" w:cs="Angsana New"/>
            <w:bCs/>
            <w:color w:val="000000" w:themeColor="text1"/>
            <w:u w:val="single"/>
          </w:rPr>
          <w:t>/</w:t>
        </w:r>
      </w:hyperlink>
      <w:hyperlink r:id="rId21">
        <w:r w:rsidRPr="00482FEC">
          <w:rPr>
            <w:rFonts w:asciiTheme="majorHAnsi" w:hAnsiTheme="majorHAnsi"/>
            <w:bCs/>
            <w:color w:val="000000" w:themeColor="text1"/>
            <w:u w:val="single"/>
          </w:rPr>
          <w:t>nason</w:t>
        </w:r>
      </w:hyperlink>
      <w:hyperlink r:id="rId22">
        <w:r w:rsidRPr="00482FEC">
          <w:rPr>
            <w:rFonts w:asciiTheme="majorHAnsi" w:eastAsia="Angsana New" w:hAnsiTheme="majorHAnsi" w:cs="Angsana New"/>
            <w:bCs/>
            <w:color w:val="000000" w:themeColor="text1"/>
            <w:u w:val="single"/>
          </w:rPr>
          <w:t>-</w:t>
        </w:r>
      </w:hyperlink>
      <w:hyperlink r:id="rId23">
        <w:r w:rsidRPr="00482FEC">
          <w:rPr>
            <w:rFonts w:asciiTheme="majorHAnsi" w:hAnsiTheme="majorHAnsi"/>
            <w:bCs/>
            <w:color w:val="000000" w:themeColor="text1"/>
            <w:u w:val="single"/>
          </w:rPr>
          <w:t>maani</w:t>
        </w:r>
      </w:hyperlink>
    </w:p>
    <w:p w14:paraId="228BF57B" w14:textId="52D34552" w:rsidR="002A7AF3" w:rsidRPr="00482FEC" w:rsidRDefault="001B1C1B" w:rsidP="002A7AF3">
      <w:pPr>
        <w:numPr>
          <w:ilvl w:val="0"/>
          <w:numId w:val="15"/>
        </w:numPr>
        <w:pBdr>
          <w:top w:val="nil"/>
          <w:left w:val="nil"/>
          <w:bottom w:val="nil"/>
          <w:right w:val="nil"/>
          <w:between w:val="nil"/>
        </w:pBdr>
        <w:ind w:left="342"/>
        <w:rPr>
          <w:rFonts w:asciiTheme="majorHAnsi" w:hAnsiTheme="majorHAnsi"/>
          <w:bCs/>
          <w:color w:val="000000" w:themeColor="text1"/>
        </w:rPr>
      </w:pPr>
      <w:r w:rsidRPr="00482FEC">
        <w:rPr>
          <w:rFonts w:asciiTheme="majorHAnsi" w:hAnsiTheme="majorHAnsi"/>
          <w:bCs/>
          <w:color w:val="000000" w:themeColor="text1"/>
        </w:rPr>
        <w:t>Dan Smith</w:t>
      </w:r>
      <w:r w:rsidR="002A7AF3" w:rsidRPr="00482FEC">
        <w:rPr>
          <w:rFonts w:asciiTheme="majorHAnsi" w:hAnsiTheme="majorHAnsi"/>
          <w:bCs/>
          <w:color w:val="000000" w:themeColor="text1"/>
        </w:rPr>
        <w:t>, Director</w:t>
      </w:r>
      <w:r w:rsidRPr="00482FEC">
        <w:rPr>
          <w:rFonts w:asciiTheme="majorHAnsi" w:hAnsiTheme="majorHAnsi"/>
          <w:bCs/>
          <w:color w:val="000000" w:themeColor="text1"/>
        </w:rPr>
        <w:t xml:space="preserve"> of</w:t>
      </w:r>
      <w:r w:rsidR="002A7AF3" w:rsidRPr="00482FEC">
        <w:rPr>
          <w:rFonts w:asciiTheme="majorHAnsi" w:hAnsiTheme="majorHAnsi"/>
          <w:bCs/>
          <w:color w:val="000000" w:themeColor="text1"/>
        </w:rPr>
        <w:t xml:space="preserve"> </w:t>
      </w:r>
      <w:r w:rsidR="002A7AF3" w:rsidRPr="00482FEC">
        <w:rPr>
          <w:rFonts w:asciiTheme="majorHAnsi" w:eastAsia="Angsana New" w:hAnsiTheme="majorHAnsi" w:cs="Angsana New"/>
          <w:bCs/>
          <w:color w:val="000000" w:themeColor="text1"/>
        </w:rPr>
        <w:t xml:space="preserve"> </w:t>
      </w:r>
      <w:r w:rsidR="002A7AF3" w:rsidRPr="00482FEC">
        <w:rPr>
          <w:rFonts w:asciiTheme="majorHAnsi" w:hAnsiTheme="majorHAnsi"/>
          <w:bCs/>
          <w:color w:val="000000" w:themeColor="text1"/>
        </w:rPr>
        <w:t xml:space="preserve">Stockholm International Peace Research Institute </w:t>
      </w:r>
      <w:r w:rsidR="002A7AF3" w:rsidRPr="00482FEC">
        <w:rPr>
          <w:rFonts w:asciiTheme="majorHAnsi" w:eastAsia="Angsana New" w:hAnsiTheme="majorHAnsi" w:cs="Angsana New"/>
          <w:bCs/>
          <w:color w:val="000000" w:themeColor="text1"/>
        </w:rPr>
        <w:t>(</w:t>
      </w:r>
      <w:r w:rsidR="002A7AF3" w:rsidRPr="00482FEC">
        <w:rPr>
          <w:rFonts w:asciiTheme="majorHAnsi" w:hAnsiTheme="majorHAnsi"/>
          <w:bCs/>
          <w:color w:val="000000" w:themeColor="text1"/>
        </w:rPr>
        <w:t>SIPRI</w:t>
      </w:r>
      <w:r w:rsidR="002A7AF3" w:rsidRPr="00482FEC">
        <w:rPr>
          <w:rFonts w:asciiTheme="majorHAnsi" w:eastAsia="Angsana New" w:hAnsiTheme="majorHAnsi" w:cs="Angsana New"/>
          <w:bCs/>
          <w:color w:val="000000" w:themeColor="text1"/>
        </w:rPr>
        <w:t>)</w:t>
      </w:r>
      <w:r w:rsidR="002A7AF3" w:rsidRPr="00482FEC">
        <w:rPr>
          <w:rFonts w:asciiTheme="majorHAnsi" w:hAnsiTheme="majorHAnsi"/>
          <w:bCs/>
          <w:color w:val="000000" w:themeColor="text1"/>
        </w:rPr>
        <w:t xml:space="preserve">, arms industry and climate </w:t>
      </w:r>
    </w:p>
    <w:p w14:paraId="6E552EB2" w14:textId="77777777" w:rsidR="002A7AF3" w:rsidRPr="00482FEC" w:rsidRDefault="002A7AF3" w:rsidP="002A7AF3">
      <w:pPr>
        <w:numPr>
          <w:ilvl w:val="0"/>
          <w:numId w:val="15"/>
        </w:numPr>
        <w:pBdr>
          <w:top w:val="nil"/>
          <w:left w:val="nil"/>
          <w:bottom w:val="nil"/>
          <w:right w:val="nil"/>
          <w:between w:val="nil"/>
        </w:pBdr>
        <w:ind w:left="342"/>
        <w:rPr>
          <w:rFonts w:asciiTheme="majorHAnsi" w:hAnsiTheme="majorHAnsi"/>
          <w:bCs/>
          <w:color w:val="000000" w:themeColor="text1"/>
          <w:lang w:val="sv-SE"/>
        </w:rPr>
      </w:pPr>
      <w:r w:rsidRPr="00482FEC">
        <w:rPr>
          <w:rFonts w:asciiTheme="majorHAnsi" w:hAnsiTheme="majorHAnsi"/>
          <w:bCs/>
          <w:color w:val="000000" w:themeColor="text1"/>
          <w:lang w:val="sv-SE"/>
        </w:rPr>
        <w:t>Mr</w:t>
      </w:r>
      <w:r w:rsidRPr="00482FEC">
        <w:rPr>
          <w:rFonts w:asciiTheme="majorHAnsi" w:eastAsia="Angsana New" w:hAnsiTheme="majorHAnsi" w:cs="Angsana New"/>
          <w:bCs/>
          <w:color w:val="000000" w:themeColor="text1"/>
          <w:lang w:val="sv-SE"/>
        </w:rPr>
        <w:t xml:space="preserve">. </w:t>
      </w:r>
      <w:r w:rsidRPr="00482FEC">
        <w:rPr>
          <w:rFonts w:asciiTheme="majorHAnsi" w:hAnsiTheme="majorHAnsi"/>
          <w:bCs/>
          <w:color w:val="000000" w:themeColor="text1"/>
          <w:lang w:val="sv-SE"/>
        </w:rPr>
        <w:t>Pipit Aneaknithi, President, Kasikorn Bank</w:t>
      </w:r>
    </w:p>
    <w:p w14:paraId="3095203B" w14:textId="52EF4883" w:rsidR="002A7AF3" w:rsidRPr="00482FEC" w:rsidRDefault="002A7AF3" w:rsidP="00D86BA9">
      <w:pPr>
        <w:numPr>
          <w:ilvl w:val="0"/>
          <w:numId w:val="15"/>
        </w:numPr>
        <w:pBdr>
          <w:top w:val="nil"/>
          <w:left w:val="nil"/>
          <w:bottom w:val="nil"/>
          <w:right w:val="nil"/>
          <w:between w:val="nil"/>
        </w:pBdr>
        <w:ind w:left="342"/>
        <w:rPr>
          <w:rFonts w:asciiTheme="majorHAnsi" w:hAnsiTheme="majorHAnsi"/>
          <w:bCs/>
          <w:color w:val="000000" w:themeColor="text1"/>
        </w:rPr>
      </w:pPr>
      <w:r w:rsidRPr="00482FEC">
        <w:rPr>
          <w:rFonts w:asciiTheme="majorHAnsi" w:hAnsiTheme="majorHAnsi"/>
          <w:bCs/>
          <w:color w:val="000000" w:themeColor="text1"/>
        </w:rPr>
        <w:t xml:space="preserve">Marisa </w:t>
      </w:r>
      <w:proofErr w:type="spellStart"/>
      <w:r w:rsidRPr="00482FEC">
        <w:rPr>
          <w:rFonts w:asciiTheme="majorHAnsi" w:hAnsiTheme="majorHAnsi"/>
          <w:bCs/>
          <w:color w:val="000000" w:themeColor="text1"/>
        </w:rPr>
        <w:t>Macari</w:t>
      </w:r>
      <w:proofErr w:type="spellEnd"/>
      <w:r w:rsidRPr="00482FEC">
        <w:rPr>
          <w:rFonts w:asciiTheme="majorHAnsi" w:hAnsiTheme="majorHAnsi"/>
          <w:bCs/>
          <w:color w:val="000000" w:themeColor="text1"/>
        </w:rPr>
        <w:t xml:space="preserve">, El </w:t>
      </w:r>
      <w:proofErr w:type="spellStart"/>
      <w:r w:rsidRPr="00482FEC">
        <w:rPr>
          <w:rFonts w:asciiTheme="majorHAnsi" w:hAnsiTheme="majorHAnsi"/>
          <w:bCs/>
          <w:color w:val="000000" w:themeColor="text1"/>
        </w:rPr>
        <w:t>Poder</w:t>
      </w:r>
      <w:proofErr w:type="spellEnd"/>
      <w:r w:rsidRPr="00482FEC">
        <w:rPr>
          <w:rFonts w:asciiTheme="majorHAnsi" w:hAnsiTheme="majorHAnsi"/>
          <w:bCs/>
          <w:color w:val="000000" w:themeColor="text1"/>
        </w:rPr>
        <w:t xml:space="preserve"> del </w:t>
      </w:r>
      <w:proofErr w:type="spellStart"/>
      <w:r w:rsidRPr="00482FEC">
        <w:rPr>
          <w:rFonts w:asciiTheme="majorHAnsi" w:hAnsiTheme="majorHAnsi"/>
          <w:bCs/>
          <w:color w:val="000000" w:themeColor="text1"/>
        </w:rPr>
        <w:t>Consumador</w:t>
      </w:r>
      <w:proofErr w:type="spellEnd"/>
      <w:r w:rsidRPr="00482FEC">
        <w:rPr>
          <w:rFonts w:asciiTheme="majorHAnsi" w:hAnsiTheme="majorHAnsi"/>
          <w:bCs/>
          <w:color w:val="000000" w:themeColor="text1"/>
        </w:rPr>
        <w:t>, Mexico</w:t>
      </w:r>
      <w:r w:rsidRPr="00482FEC">
        <w:rPr>
          <w:rFonts w:asciiTheme="majorHAnsi" w:eastAsia="Angsana New" w:hAnsiTheme="majorHAnsi" w:cs="Angsana New"/>
          <w:bCs/>
          <w:color w:val="000000" w:themeColor="text1"/>
        </w:rPr>
        <w:t xml:space="preserve"> </w:t>
      </w:r>
      <w:r w:rsidRPr="00482FEC">
        <w:rPr>
          <w:rFonts w:asciiTheme="majorHAnsi" w:hAnsiTheme="majorHAnsi"/>
          <w:bCs/>
          <w:color w:val="000000" w:themeColor="text1"/>
        </w:rPr>
        <w:t>Government representatives</w:t>
      </w:r>
      <w:r w:rsidRPr="00482FEC">
        <w:rPr>
          <w:rFonts w:asciiTheme="majorHAnsi" w:eastAsia="Angsana New" w:hAnsiTheme="majorHAnsi" w:cs="Angsana New"/>
          <w:bCs/>
          <w:color w:val="000000" w:themeColor="text1"/>
        </w:rPr>
        <w:t xml:space="preserve"> </w:t>
      </w:r>
      <w:r w:rsidRPr="00482FEC">
        <w:rPr>
          <w:rFonts w:asciiTheme="majorHAnsi" w:hAnsiTheme="majorHAnsi"/>
          <w:bCs/>
          <w:color w:val="000000" w:themeColor="text1"/>
        </w:rPr>
        <w:t>successful case studies</w:t>
      </w:r>
      <w:r w:rsidRPr="00482FEC">
        <w:rPr>
          <w:rFonts w:asciiTheme="majorHAnsi" w:eastAsia="Angsana New" w:hAnsiTheme="majorHAnsi" w:cs="Angsana New"/>
          <w:bCs/>
          <w:color w:val="000000" w:themeColor="text1"/>
        </w:rPr>
        <w:t xml:space="preserve">: </w:t>
      </w:r>
      <w:r w:rsidRPr="00482FEC">
        <w:rPr>
          <w:rFonts w:asciiTheme="majorHAnsi" w:hAnsiTheme="majorHAnsi"/>
          <w:bCs/>
          <w:color w:val="000000" w:themeColor="text1"/>
        </w:rPr>
        <w:t>Mexico sugar tax and successful campaign for it</w:t>
      </w:r>
      <w:r w:rsidRPr="00482FEC">
        <w:rPr>
          <w:rFonts w:asciiTheme="majorHAnsi" w:eastAsia="Angsana New" w:hAnsiTheme="majorHAnsi" w:cs="Angsana New"/>
          <w:bCs/>
          <w:color w:val="000000" w:themeColor="text1"/>
        </w:rPr>
        <w:t xml:space="preserve"> </w:t>
      </w:r>
      <w:r w:rsidR="003E4724" w:rsidRPr="00482FEC">
        <w:rPr>
          <w:rFonts w:asciiTheme="majorHAnsi" w:eastAsia="Angsana New" w:hAnsiTheme="majorHAnsi" w:cs="Angsana New"/>
          <w:bCs/>
          <w:color w:val="000000" w:themeColor="text1"/>
        </w:rPr>
        <w:t>–</w:t>
      </w:r>
      <w:r w:rsidRPr="00482FEC">
        <w:rPr>
          <w:rFonts w:asciiTheme="majorHAnsi" w:eastAsia="Angsana New" w:hAnsiTheme="majorHAnsi" w:cs="Angsana New"/>
          <w:bCs/>
          <w:color w:val="000000" w:themeColor="text1"/>
        </w:rPr>
        <w:t xml:space="preserve"> </w:t>
      </w:r>
    </w:p>
    <w:p w14:paraId="501BA59F" w14:textId="71ED1D07" w:rsidR="003E4724" w:rsidRPr="00D86BA9" w:rsidRDefault="003E4724" w:rsidP="00D86BA9">
      <w:pPr>
        <w:numPr>
          <w:ilvl w:val="0"/>
          <w:numId w:val="15"/>
        </w:numPr>
        <w:pBdr>
          <w:top w:val="nil"/>
          <w:left w:val="nil"/>
          <w:bottom w:val="nil"/>
          <w:right w:val="nil"/>
          <w:between w:val="nil"/>
        </w:pBdr>
        <w:ind w:left="342"/>
        <w:rPr>
          <w:rFonts w:asciiTheme="majorHAnsi" w:hAnsiTheme="majorHAnsi"/>
          <w:bCs/>
          <w:color w:val="000000"/>
        </w:rPr>
      </w:pPr>
      <w:r w:rsidRPr="00D86BA9">
        <w:rPr>
          <w:rFonts w:asciiTheme="majorHAnsi" w:hAnsiTheme="majorHAnsi"/>
          <w:bCs/>
          <w:color w:val="000000"/>
          <w:lang w:val="en-US" w:bidi="th-TH"/>
        </w:rPr>
        <w:t xml:space="preserve">Representative from the Thai Health promotion foundation </w:t>
      </w:r>
    </w:p>
    <w:p w14:paraId="640232A0" w14:textId="77777777" w:rsidR="002A7AF3" w:rsidRPr="00D86BA9" w:rsidRDefault="002A7AF3" w:rsidP="002A7AF3">
      <w:pPr>
        <w:rPr>
          <w:rFonts w:asciiTheme="majorHAnsi" w:hAnsiTheme="majorHAnsi"/>
          <w:bCs/>
        </w:rPr>
      </w:pPr>
      <w:r w:rsidRPr="00D86BA9">
        <w:rPr>
          <w:rFonts w:asciiTheme="majorHAnsi" w:hAnsiTheme="majorHAnsi"/>
          <w:bCs/>
        </w:rPr>
        <w:t>Back up panelists</w:t>
      </w:r>
    </w:p>
    <w:p w14:paraId="435D10FF" w14:textId="77777777" w:rsidR="002A7AF3" w:rsidRPr="00D86BA9" w:rsidRDefault="002A7AF3" w:rsidP="002A7AF3">
      <w:pPr>
        <w:numPr>
          <w:ilvl w:val="0"/>
          <w:numId w:val="15"/>
        </w:numPr>
        <w:pBdr>
          <w:top w:val="nil"/>
          <w:left w:val="nil"/>
          <w:bottom w:val="nil"/>
          <w:right w:val="nil"/>
          <w:between w:val="nil"/>
        </w:pBdr>
        <w:ind w:left="342"/>
        <w:rPr>
          <w:rFonts w:asciiTheme="majorHAnsi" w:hAnsiTheme="majorHAnsi"/>
          <w:bCs/>
          <w:color w:val="000000"/>
        </w:rPr>
      </w:pPr>
      <w:r w:rsidRPr="00D86BA9">
        <w:rPr>
          <w:rFonts w:asciiTheme="majorHAnsi" w:hAnsiTheme="majorHAnsi"/>
          <w:bCs/>
          <w:color w:val="000000"/>
        </w:rPr>
        <w:t xml:space="preserve">Mike </w:t>
      </w:r>
      <w:proofErr w:type="spellStart"/>
      <w:r w:rsidRPr="00D86BA9">
        <w:rPr>
          <w:rFonts w:asciiTheme="majorHAnsi" w:hAnsiTheme="majorHAnsi"/>
          <w:bCs/>
          <w:color w:val="000000"/>
        </w:rPr>
        <w:t>Daube</w:t>
      </w:r>
      <w:proofErr w:type="spellEnd"/>
      <w:r w:rsidRPr="00D86BA9">
        <w:rPr>
          <w:rFonts w:asciiTheme="majorHAnsi" w:hAnsiTheme="majorHAnsi"/>
          <w:bCs/>
          <w:color w:val="000000"/>
        </w:rPr>
        <w:t xml:space="preserve">, Curtin University </w:t>
      </w:r>
      <w:r w:rsidRPr="00D86BA9">
        <w:rPr>
          <w:rFonts w:asciiTheme="majorHAnsi" w:eastAsia="Angsana New" w:hAnsiTheme="majorHAnsi" w:cs="Angsana New"/>
          <w:bCs/>
          <w:color w:val="000000"/>
        </w:rPr>
        <w:t>(</w:t>
      </w:r>
      <w:hyperlink r:id="rId24">
        <w:r w:rsidRPr="00D86BA9">
          <w:rPr>
            <w:rFonts w:asciiTheme="majorHAnsi" w:hAnsiTheme="majorHAnsi"/>
            <w:bCs/>
            <w:color w:val="0563C1"/>
            <w:u w:val="single"/>
          </w:rPr>
          <w:t>https</w:t>
        </w:r>
      </w:hyperlink>
      <w:hyperlink r:id="rId25">
        <w:r w:rsidRPr="00D86BA9">
          <w:rPr>
            <w:rFonts w:asciiTheme="majorHAnsi" w:eastAsia="Angsana New" w:hAnsiTheme="majorHAnsi" w:cs="Angsana New"/>
            <w:bCs/>
            <w:color w:val="0563C1"/>
            <w:u w:val="single"/>
          </w:rPr>
          <w:t>://</w:t>
        </w:r>
      </w:hyperlink>
      <w:hyperlink r:id="rId26">
        <w:r w:rsidRPr="00D86BA9">
          <w:rPr>
            <w:rFonts w:asciiTheme="majorHAnsi" w:hAnsiTheme="majorHAnsi"/>
            <w:bCs/>
            <w:color w:val="0563C1"/>
            <w:u w:val="single"/>
          </w:rPr>
          <w:t>staffportal</w:t>
        </w:r>
      </w:hyperlink>
      <w:hyperlink r:id="rId27">
        <w:r w:rsidRPr="00D86BA9">
          <w:rPr>
            <w:rFonts w:asciiTheme="majorHAnsi" w:eastAsia="Angsana New" w:hAnsiTheme="majorHAnsi" w:cs="Angsana New"/>
            <w:bCs/>
            <w:color w:val="0563C1"/>
            <w:u w:val="single"/>
          </w:rPr>
          <w:t>.</w:t>
        </w:r>
      </w:hyperlink>
      <w:hyperlink r:id="rId28">
        <w:proofErr w:type="gramStart"/>
        <w:r w:rsidRPr="00D86BA9">
          <w:rPr>
            <w:rFonts w:asciiTheme="majorHAnsi" w:hAnsiTheme="majorHAnsi"/>
            <w:bCs/>
            <w:color w:val="0563C1"/>
            <w:u w:val="single"/>
          </w:rPr>
          <w:t>curtin</w:t>
        </w:r>
        <w:proofErr w:type="gramEnd"/>
      </w:hyperlink>
      <w:hyperlink r:id="rId29">
        <w:r w:rsidRPr="00D86BA9">
          <w:rPr>
            <w:rFonts w:asciiTheme="majorHAnsi" w:eastAsia="Angsana New" w:hAnsiTheme="majorHAnsi" w:cs="Angsana New"/>
            <w:bCs/>
            <w:color w:val="0563C1"/>
            <w:u w:val="single"/>
          </w:rPr>
          <w:t>.</w:t>
        </w:r>
      </w:hyperlink>
      <w:hyperlink r:id="rId30">
        <w:proofErr w:type="gramStart"/>
        <w:r w:rsidRPr="00D86BA9">
          <w:rPr>
            <w:rFonts w:asciiTheme="majorHAnsi" w:hAnsiTheme="majorHAnsi"/>
            <w:bCs/>
            <w:color w:val="0563C1"/>
            <w:u w:val="single"/>
          </w:rPr>
          <w:t>edu</w:t>
        </w:r>
        <w:proofErr w:type="gramEnd"/>
      </w:hyperlink>
      <w:hyperlink r:id="rId31">
        <w:r w:rsidRPr="00D86BA9">
          <w:rPr>
            <w:rFonts w:asciiTheme="majorHAnsi" w:eastAsia="Angsana New" w:hAnsiTheme="majorHAnsi" w:cs="Angsana New"/>
            <w:bCs/>
            <w:color w:val="0563C1"/>
            <w:u w:val="single"/>
          </w:rPr>
          <w:t>.</w:t>
        </w:r>
      </w:hyperlink>
      <w:hyperlink r:id="rId32">
        <w:r w:rsidRPr="00D86BA9">
          <w:rPr>
            <w:rFonts w:asciiTheme="majorHAnsi" w:hAnsiTheme="majorHAnsi"/>
            <w:bCs/>
            <w:color w:val="0563C1"/>
            <w:u w:val="single"/>
          </w:rPr>
          <w:t>au</w:t>
        </w:r>
      </w:hyperlink>
      <w:hyperlink r:id="rId33">
        <w:r w:rsidRPr="00D86BA9">
          <w:rPr>
            <w:rFonts w:asciiTheme="majorHAnsi" w:eastAsia="Angsana New" w:hAnsiTheme="majorHAnsi" w:cs="Angsana New"/>
            <w:bCs/>
            <w:color w:val="0563C1"/>
            <w:u w:val="single"/>
          </w:rPr>
          <w:t>/</w:t>
        </w:r>
      </w:hyperlink>
      <w:hyperlink r:id="rId34">
        <w:r w:rsidRPr="00D86BA9">
          <w:rPr>
            <w:rFonts w:asciiTheme="majorHAnsi" w:hAnsiTheme="majorHAnsi"/>
            <w:bCs/>
            <w:color w:val="0563C1"/>
            <w:u w:val="single"/>
          </w:rPr>
          <w:t>staff</w:t>
        </w:r>
      </w:hyperlink>
      <w:hyperlink r:id="rId35">
        <w:r w:rsidRPr="00D86BA9">
          <w:rPr>
            <w:rFonts w:asciiTheme="majorHAnsi" w:eastAsia="Angsana New" w:hAnsiTheme="majorHAnsi" w:cs="Angsana New"/>
            <w:bCs/>
            <w:color w:val="0563C1"/>
            <w:u w:val="single"/>
          </w:rPr>
          <w:t>/</w:t>
        </w:r>
      </w:hyperlink>
      <w:hyperlink r:id="rId36">
        <w:r w:rsidRPr="00D86BA9">
          <w:rPr>
            <w:rFonts w:asciiTheme="majorHAnsi" w:hAnsiTheme="majorHAnsi"/>
            <w:bCs/>
            <w:color w:val="0563C1"/>
            <w:u w:val="single"/>
          </w:rPr>
          <w:t>profile</w:t>
        </w:r>
      </w:hyperlink>
      <w:hyperlink r:id="rId37">
        <w:r w:rsidRPr="00D86BA9">
          <w:rPr>
            <w:rFonts w:asciiTheme="majorHAnsi" w:eastAsia="Angsana New" w:hAnsiTheme="majorHAnsi" w:cs="Angsana New"/>
            <w:bCs/>
            <w:color w:val="0563C1"/>
            <w:u w:val="single"/>
          </w:rPr>
          <w:t>/</w:t>
        </w:r>
      </w:hyperlink>
      <w:hyperlink r:id="rId38">
        <w:r w:rsidRPr="00D86BA9">
          <w:rPr>
            <w:rFonts w:asciiTheme="majorHAnsi" w:hAnsiTheme="majorHAnsi"/>
            <w:bCs/>
            <w:color w:val="0563C1"/>
            <w:u w:val="single"/>
          </w:rPr>
          <w:t>view</w:t>
        </w:r>
      </w:hyperlink>
      <w:hyperlink r:id="rId39">
        <w:r w:rsidRPr="00D86BA9">
          <w:rPr>
            <w:rFonts w:asciiTheme="majorHAnsi" w:eastAsia="Angsana New" w:hAnsiTheme="majorHAnsi" w:cs="Angsana New"/>
            <w:bCs/>
            <w:color w:val="0563C1"/>
            <w:u w:val="single"/>
          </w:rPr>
          <w:t>/</w:t>
        </w:r>
      </w:hyperlink>
      <w:hyperlink r:id="rId40">
        <w:r w:rsidRPr="00D86BA9">
          <w:rPr>
            <w:rFonts w:asciiTheme="majorHAnsi" w:hAnsiTheme="majorHAnsi"/>
            <w:bCs/>
            <w:color w:val="0563C1"/>
            <w:u w:val="single"/>
          </w:rPr>
          <w:t>mike</w:t>
        </w:r>
      </w:hyperlink>
      <w:hyperlink r:id="rId41">
        <w:r w:rsidRPr="00D86BA9">
          <w:rPr>
            <w:rFonts w:asciiTheme="majorHAnsi" w:eastAsia="Angsana New" w:hAnsiTheme="majorHAnsi" w:cs="Angsana New"/>
            <w:bCs/>
            <w:color w:val="0563C1"/>
            <w:u w:val="single"/>
          </w:rPr>
          <w:t>-</w:t>
        </w:r>
      </w:hyperlink>
      <w:hyperlink r:id="rId42">
        <w:r w:rsidRPr="00D86BA9">
          <w:rPr>
            <w:rFonts w:asciiTheme="majorHAnsi" w:hAnsiTheme="majorHAnsi"/>
            <w:bCs/>
            <w:color w:val="0563C1"/>
            <w:u w:val="single"/>
          </w:rPr>
          <w:t>daube</w:t>
        </w:r>
      </w:hyperlink>
      <w:hyperlink r:id="rId43">
        <w:r w:rsidRPr="00D86BA9">
          <w:rPr>
            <w:rFonts w:asciiTheme="majorHAnsi" w:eastAsia="Angsana New" w:hAnsiTheme="majorHAnsi" w:cs="Angsana New"/>
            <w:bCs/>
            <w:color w:val="0563C1"/>
            <w:u w:val="single"/>
          </w:rPr>
          <w:t>-</w:t>
        </w:r>
      </w:hyperlink>
      <w:hyperlink r:id="rId44">
        <w:r w:rsidRPr="00D86BA9">
          <w:rPr>
            <w:rFonts w:asciiTheme="majorHAnsi" w:hAnsiTheme="majorHAnsi"/>
            <w:bCs/>
            <w:color w:val="0563C1"/>
            <w:u w:val="single"/>
          </w:rPr>
          <w:t>15ab73b3</w:t>
        </w:r>
      </w:hyperlink>
      <w:hyperlink r:id="rId45">
        <w:r w:rsidRPr="00D86BA9">
          <w:rPr>
            <w:rFonts w:asciiTheme="majorHAnsi" w:eastAsia="Angsana New" w:hAnsiTheme="majorHAnsi" w:cs="Angsana New"/>
            <w:bCs/>
            <w:color w:val="0563C1"/>
            <w:u w:val="single"/>
          </w:rPr>
          <w:t>/</w:t>
        </w:r>
      </w:hyperlink>
      <w:r w:rsidRPr="00D86BA9">
        <w:rPr>
          <w:rFonts w:asciiTheme="majorHAnsi" w:eastAsia="Angsana New" w:hAnsiTheme="majorHAnsi" w:cs="Angsana New"/>
          <w:bCs/>
          <w:color w:val="000000"/>
        </w:rPr>
        <w:t>)</w:t>
      </w:r>
    </w:p>
    <w:p w14:paraId="6461DD8D" w14:textId="77777777" w:rsidR="002A7AF3" w:rsidRPr="00D86BA9" w:rsidRDefault="002A7AF3" w:rsidP="002A7AF3">
      <w:pPr>
        <w:numPr>
          <w:ilvl w:val="0"/>
          <w:numId w:val="15"/>
        </w:numPr>
        <w:pBdr>
          <w:top w:val="nil"/>
          <w:left w:val="nil"/>
          <w:bottom w:val="nil"/>
          <w:right w:val="nil"/>
          <w:between w:val="nil"/>
        </w:pBdr>
        <w:ind w:left="342"/>
        <w:rPr>
          <w:rFonts w:asciiTheme="majorHAnsi" w:hAnsiTheme="majorHAnsi"/>
          <w:bCs/>
          <w:color w:val="000000" w:themeColor="text1"/>
        </w:rPr>
      </w:pPr>
      <w:r w:rsidRPr="00D86BA9">
        <w:rPr>
          <w:rFonts w:asciiTheme="majorHAnsi" w:hAnsiTheme="majorHAnsi"/>
          <w:bCs/>
          <w:color w:val="000000" w:themeColor="text1"/>
        </w:rPr>
        <w:t xml:space="preserve">Anna </w:t>
      </w:r>
      <w:proofErr w:type="spellStart"/>
      <w:r w:rsidRPr="00D86BA9">
        <w:rPr>
          <w:rFonts w:asciiTheme="majorHAnsi" w:hAnsiTheme="majorHAnsi"/>
          <w:bCs/>
          <w:color w:val="000000" w:themeColor="text1"/>
        </w:rPr>
        <w:t>Gilmorne</w:t>
      </w:r>
      <w:proofErr w:type="spellEnd"/>
      <w:r w:rsidRPr="00D86BA9">
        <w:rPr>
          <w:rFonts w:asciiTheme="majorHAnsi" w:hAnsiTheme="majorHAnsi"/>
          <w:bCs/>
          <w:color w:val="000000" w:themeColor="text1"/>
        </w:rPr>
        <w:t xml:space="preserve"> </w:t>
      </w:r>
      <w:r w:rsidRPr="00D86BA9">
        <w:rPr>
          <w:rFonts w:asciiTheme="majorHAnsi" w:eastAsia="Angsana New" w:hAnsiTheme="majorHAnsi" w:cs="Angsana New"/>
          <w:bCs/>
          <w:color w:val="000000" w:themeColor="text1"/>
        </w:rPr>
        <w:t>(</w:t>
      </w:r>
      <w:r w:rsidRPr="00D86BA9">
        <w:rPr>
          <w:rFonts w:asciiTheme="majorHAnsi" w:hAnsiTheme="majorHAnsi"/>
          <w:bCs/>
          <w:color w:val="000000" w:themeColor="text1"/>
        </w:rPr>
        <w:t>U</w:t>
      </w:r>
      <w:r w:rsidRPr="00D86BA9">
        <w:rPr>
          <w:rFonts w:asciiTheme="majorHAnsi" w:eastAsia="Angsana New" w:hAnsiTheme="majorHAnsi" w:cs="Angsana New"/>
          <w:bCs/>
          <w:color w:val="000000" w:themeColor="text1"/>
        </w:rPr>
        <w:t xml:space="preserve">. </w:t>
      </w:r>
      <w:r w:rsidRPr="00D86BA9">
        <w:rPr>
          <w:rFonts w:asciiTheme="majorHAnsi" w:hAnsiTheme="majorHAnsi"/>
          <w:bCs/>
          <w:color w:val="000000" w:themeColor="text1"/>
        </w:rPr>
        <w:t>of Bath</w:t>
      </w:r>
      <w:r w:rsidRPr="00D86BA9">
        <w:rPr>
          <w:rFonts w:asciiTheme="majorHAnsi" w:eastAsia="Angsana New" w:hAnsiTheme="majorHAnsi" w:cs="Angsana New"/>
          <w:bCs/>
          <w:color w:val="000000" w:themeColor="text1"/>
        </w:rPr>
        <w:t>)</w:t>
      </w:r>
    </w:p>
    <w:p w14:paraId="197D5F0A" w14:textId="77777777" w:rsidR="002A7AF3" w:rsidRPr="00D86BA9" w:rsidRDefault="002A7AF3" w:rsidP="002A7AF3">
      <w:pPr>
        <w:numPr>
          <w:ilvl w:val="0"/>
          <w:numId w:val="15"/>
        </w:numPr>
        <w:pBdr>
          <w:top w:val="nil"/>
          <w:left w:val="nil"/>
          <w:bottom w:val="nil"/>
          <w:right w:val="nil"/>
          <w:between w:val="nil"/>
        </w:pBdr>
        <w:ind w:left="342"/>
        <w:rPr>
          <w:rFonts w:asciiTheme="majorHAnsi" w:hAnsiTheme="majorHAnsi"/>
          <w:bCs/>
          <w:color w:val="000000"/>
        </w:rPr>
      </w:pPr>
      <w:r w:rsidRPr="00D86BA9">
        <w:rPr>
          <w:rFonts w:asciiTheme="majorHAnsi" w:hAnsiTheme="majorHAnsi"/>
          <w:bCs/>
          <w:color w:val="000000" w:themeColor="text1"/>
        </w:rPr>
        <w:t>Isaac O</w:t>
      </w:r>
      <w:r w:rsidRPr="00D86BA9">
        <w:rPr>
          <w:rFonts w:asciiTheme="majorHAnsi" w:eastAsia="Angsana New" w:hAnsiTheme="majorHAnsi" w:cs="Angsana New"/>
          <w:bCs/>
          <w:color w:val="000000" w:themeColor="text1"/>
        </w:rPr>
        <w:t xml:space="preserve">. </w:t>
      </w:r>
      <w:proofErr w:type="spellStart"/>
      <w:r w:rsidRPr="00D86BA9">
        <w:rPr>
          <w:rFonts w:asciiTheme="majorHAnsi" w:hAnsiTheme="majorHAnsi"/>
          <w:bCs/>
          <w:color w:val="000000" w:themeColor="text1"/>
        </w:rPr>
        <w:t>Awuondo</w:t>
      </w:r>
      <w:proofErr w:type="spellEnd"/>
      <w:r w:rsidRPr="00D86BA9">
        <w:rPr>
          <w:rFonts w:asciiTheme="majorHAnsi" w:eastAsia="Angsana New" w:hAnsiTheme="majorHAnsi" w:cs="Angsana New"/>
          <w:bCs/>
          <w:color w:val="000000" w:themeColor="text1"/>
        </w:rPr>
        <w:t xml:space="preserve"> </w:t>
      </w:r>
      <w:r w:rsidRPr="00D86BA9">
        <w:rPr>
          <w:rFonts w:asciiTheme="majorHAnsi" w:eastAsia="Angsana New" w:hAnsiTheme="majorHAnsi" w:cs="Angsana New"/>
          <w:bCs/>
          <w:color w:val="000000"/>
        </w:rPr>
        <w:t>(</w:t>
      </w:r>
      <w:hyperlink r:id="rId46">
        <w:r w:rsidRPr="00D86BA9">
          <w:rPr>
            <w:rFonts w:asciiTheme="majorHAnsi" w:hAnsiTheme="majorHAnsi"/>
            <w:bCs/>
            <w:color w:val="0563C1"/>
            <w:u w:val="single"/>
          </w:rPr>
          <w:t>https</w:t>
        </w:r>
      </w:hyperlink>
      <w:hyperlink r:id="rId47">
        <w:proofErr w:type="gramStart"/>
        <w:r w:rsidRPr="00D86BA9">
          <w:rPr>
            <w:rFonts w:asciiTheme="majorHAnsi" w:eastAsia="Angsana New" w:hAnsiTheme="majorHAnsi" w:cs="Angsana New"/>
            <w:bCs/>
            <w:color w:val="0563C1"/>
            <w:u w:val="single"/>
          </w:rPr>
          <w:t>:/</w:t>
        </w:r>
        <w:proofErr w:type="gramEnd"/>
        <w:r w:rsidRPr="00D86BA9">
          <w:rPr>
            <w:rFonts w:asciiTheme="majorHAnsi" w:eastAsia="Angsana New" w:hAnsiTheme="majorHAnsi" w:cs="Angsana New"/>
            <w:bCs/>
            <w:color w:val="0563C1"/>
            <w:u w:val="single"/>
          </w:rPr>
          <w:t>/</w:t>
        </w:r>
      </w:hyperlink>
      <w:hyperlink r:id="rId48">
        <w:r w:rsidRPr="00D86BA9">
          <w:rPr>
            <w:rFonts w:asciiTheme="majorHAnsi" w:hAnsiTheme="majorHAnsi"/>
            <w:bCs/>
            <w:color w:val="0563C1"/>
            <w:u w:val="single"/>
          </w:rPr>
          <w:t>ke</w:t>
        </w:r>
      </w:hyperlink>
      <w:hyperlink r:id="rId49">
        <w:r w:rsidRPr="00D86BA9">
          <w:rPr>
            <w:rFonts w:asciiTheme="majorHAnsi" w:eastAsia="Angsana New" w:hAnsiTheme="majorHAnsi" w:cs="Angsana New"/>
            <w:bCs/>
            <w:color w:val="0563C1"/>
            <w:u w:val="single"/>
          </w:rPr>
          <w:t>.</w:t>
        </w:r>
      </w:hyperlink>
      <w:hyperlink r:id="rId50">
        <w:proofErr w:type="gramStart"/>
        <w:r w:rsidRPr="00D86BA9">
          <w:rPr>
            <w:rFonts w:asciiTheme="majorHAnsi" w:hAnsiTheme="majorHAnsi"/>
            <w:bCs/>
            <w:color w:val="0563C1"/>
            <w:u w:val="single"/>
          </w:rPr>
          <w:t>ncbagroup</w:t>
        </w:r>
        <w:proofErr w:type="gramEnd"/>
      </w:hyperlink>
      <w:hyperlink r:id="rId51">
        <w:r w:rsidRPr="00D86BA9">
          <w:rPr>
            <w:rFonts w:asciiTheme="majorHAnsi" w:eastAsia="Angsana New" w:hAnsiTheme="majorHAnsi" w:cs="Angsana New"/>
            <w:bCs/>
            <w:color w:val="0563C1"/>
            <w:u w:val="single"/>
          </w:rPr>
          <w:t>.</w:t>
        </w:r>
      </w:hyperlink>
      <w:hyperlink r:id="rId52">
        <w:r w:rsidRPr="00D86BA9">
          <w:rPr>
            <w:rFonts w:asciiTheme="majorHAnsi" w:hAnsiTheme="majorHAnsi"/>
            <w:bCs/>
            <w:color w:val="0563C1"/>
            <w:u w:val="single"/>
          </w:rPr>
          <w:t>com</w:t>
        </w:r>
      </w:hyperlink>
      <w:hyperlink r:id="rId53">
        <w:r w:rsidRPr="00D86BA9">
          <w:rPr>
            <w:rFonts w:asciiTheme="majorHAnsi" w:eastAsia="Angsana New" w:hAnsiTheme="majorHAnsi" w:cs="Angsana New"/>
            <w:bCs/>
            <w:color w:val="0563C1"/>
            <w:u w:val="single"/>
          </w:rPr>
          <w:t>/</w:t>
        </w:r>
      </w:hyperlink>
      <w:hyperlink r:id="rId54">
        <w:r w:rsidRPr="00D86BA9">
          <w:rPr>
            <w:rFonts w:asciiTheme="majorHAnsi" w:hAnsiTheme="majorHAnsi"/>
            <w:bCs/>
            <w:color w:val="0563C1"/>
            <w:u w:val="single"/>
          </w:rPr>
          <w:t>our</w:t>
        </w:r>
      </w:hyperlink>
      <w:hyperlink r:id="rId55">
        <w:r w:rsidRPr="00D86BA9">
          <w:rPr>
            <w:rFonts w:asciiTheme="majorHAnsi" w:eastAsia="Angsana New" w:hAnsiTheme="majorHAnsi" w:cs="Angsana New"/>
            <w:bCs/>
            <w:color w:val="0563C1"/>
            <w:u w:val="single"/>
          </w:rPr>
          <w:t>-</w:t>
        </w:r>
      </w:hyperlink>
      <w:hyperlink r:id="rId56">
        <w:r w:rsidRPr="00D86BA9">
          <w:rPr>
            <w:rFonts w:asciiTheme="majorHAnsi" w:hAnsiTheme="majorHAnsi"/>
            <w:bCs/>
            <w:color w:val="0563C1"/>
            <w:u w:val="single"/>
          </w:rPr>
          <w:t>board</w:t>
        </w:r>
      </w:hyperlink>
      <w:hyperlink r:id="rId57">
        <w:r w:rsidRPr="00D86BA9">
          <w:rPr>
            <w:rFonts w:asciiTheme="majorHAnsi" w:eastAsia="Angsana New" w:hAnsiTheme="majorHAnsi" w:cs="Angsana New"/>
            <w:bCs/>
            <w:color w:val="0563C1"/>
            <w:u w:val="single"/>
          </w:rPr>
          <w:t>-</w:t>
        </w:r>
      </w:hyperlink>
      <w:hyperlink r:id="rId58">
        <w:r w:rsidRPr="00D86BA9">
          <w:rPr>
            <w:rFonts w:asciiTheme="majorHAnsi" w:hAnsiTheme="majorHAnsi"/>
            <w:bCs/>
            <w:color w:val="0563C1"/>
            <w:u w:val="single"/>
          </w:rPr>
          <w:t>of</w:t>
        </w:r>
      </w:hyperlink>
      <w:hyperlink r:id="rId59">
        <w:r w:rsidRPr="00D86BA9">
          <w:rPr>
            <w:rFonts w:asciiTheme="majorHAnsi" w:eastAsia="Angsana New" w:hAnsiTheme="majorHAnsi" w:cs="Angsana New"/>
            <w:bCs/>
            <w:color w:val="0563C1"/>
            <w:u w:val="single"/>
          </w:rPr>
          <w:t>-</w:t>
        </w:r>
      </w:hyperlink>
      <w:hyperlink r:id="rId60">
        <w:r w:rsidRPr="00D86BA9">
          <w:rPr>
            <w:rFonts w:asciiTheme="majorHAnsi" w:hAnsiTheme="majorHAnsi"/>
            <w:bCs/>
            <w:color w:val="0563C1"/>
            <w:u w:val="single"/>
          </w:rPr>
          <w:t>directors</w:t>
        </w:r>
      </w:hyperlink>
      <w:hyperlink r:id="rId61">
        <w:r w:rsidRPr="00D86BA9">
          <w:rPr>
            <w:rFonts w:asciiTheme="majorHAnsi" w:eastAsia="Angsana New" w:hAnsiTheme="majorHAnsi" w:cs="Angsana New"/>
            <w:bCs/>
            <w:color w:val="0563C1"/>
            <w:u w:val="single"/>
          </w:rPr>
          <w:t>/</w:t>
        </w:r>
      </w:hyperlink>
      <w:r w:rsidRPr="00D86BA9">
        <w:rPr>
          <w:rFonts w:asciiTheme="majorHAnsi" w:eastAsia="Angsana New" w:hAnsiTheme="majorHAnsi" w:cs="Angsana New"/>
          <w:bCs/>
          <w:color w:val="000000"/>
        </w:rPr>
        <w:t xml:space="preserve">) – </w:t>
      </w:r>
      <w:r w:rsidRPr="00D86BA9">
        <w:rPr>
          <w:rFonts w:asciiTheme="majorHAnsi" w:hAnsiTheme="majorHAnsi"/>
          <w:bCs/>
          <w:color w:val="000000"/>
        </w:rPr>
        <w:t>Asian Bank</w:t>
      </w:r>
    </w:p>
    <w:p w14:paraId="79B3BCED" w14:textId="77777777" w:rsidR="002A7AF3" w:rsidRPr="00D86BA9" w:rsidRDefault="002A7AF3" w:rsidP="002A7AF3">
      <w:pPr>
        <w:rPr>
          <w:rFonts w:asciiTheme="majorHAnsi" w:hAnsiTheme="majorHAnsi"/>
        </w:rPr>
      </w:pPr>
      <w:r w:rsidRPr="00D86BA9">
        <w:rPr>
          <w:rFonts w:asciiTheme="majorHAnsi" w:hAnsiTheme="majorHAnsi"/>
        </w:rPr>
        <w:t xml:space="preserve">Back up moderator </w:t>
      </w:r>
    </w:p>
    <w:p w14:paraId="7F63B612" w14:textId="77777777" w:rsidR="002A7AF3" w:rsidRPr="00D86BA9" w:rsidRDefault="002A7AF3" w:rsidP="002A7AF3">
      <w:pPr>
        <w:numPr>
          <w:ilvl w:val="0"/>
          <w:numId w:val="14"/>
        </w:numPr>
        <w:pBdr>
          <w:top w:val="nil"/>
          <w:left w:val="nil"/>
          <w:bottom w:val="nil"/>
          <w:right w:val="nil"/>
          <w:between w:val="nil"/>
        </w:pBdr>
        <w:rPr>
          <w:rFonts w:asciiTheme="majorHAnsi" w:hAnsiTheme="majorHAnsi"/>
          <w:color w:val="000000"/>
        </w:rPr>
      </w:pPr>
      <w:r w:rsidRPr="00D86BA9">
        <w:rPr>
          <w:rFonts w:asciiTheme="majorHAnsi" w:hAnsiTheme="majorHAnsi"/>
          <w:color w:val="000000"/>
        </w:rPr>
        <w:t xml:space="preserve">David </w:t>
      </w:r>
      <w:proofErr w:type="spellStart"/>
      <w:r w:rsidRPr="00D86BA9">
        <w:rPr>
          <w:rFonts w:asciiTheme="majorHAnsi" w:hAnsiTheme="majorHAnsi"/>
          <w:color w:val="000000"/>
        </w:rPr>
        <w:t>Nabarro</w:t>
      </w:r>
      <w:proofErr w:type="spellEnd"/>
    </w:p>
    <w:p w14:paraId="54204B04" w14:textId="77777777" w:rsidR="00AD18EA" w:rsidRPr="00D86BA9" w:rsidRDefault="00AD18EA" w:rsidP="00AD18EA">
      <w:pPr>
        <w:pStyle w:val="Heading2"/>
        <w:rPr>
          <w:rFonts w:asciiTheme="majorHAnsi" w:hAnsiTheme="majorHAnsi"/>
          <w:color w:val="000000" w:themeColor="text1"/>
          <w:sz w:val="22"/>
        </w:rPr>
      </w:pPr>
      <w:r w:rsidRPr="00D86BA9">
        <w:rPr>
          <w:rFonts w:asciiTheme="majorHAnsi" w:hAnsiTheme="majorHAnsi"/>
          <w:color w:val="000000" w:themeColor="text1"/>
          <w:sz w:val="22"/>
        </w:rPr>
        <w:t xml:space="preserve">Key questions to cover in the session </w:t>
      </w:r>
    </w:p>
    <w:p w14:paraId="75EAAAB9" w14:textId="77777777" w:rsidR="00AD18EA" w:rsidRPr="00D86BA9" w:rsidRDefault="00AD18EA" w:rsidP="00AD18EA">
      <w:pPr>
        <w:pStyle w:val="ListParagraph"/>
        <w:numPr>
          <w:ilvl w:val="0"/>
          <w:numId w:val="9"/>
        </w:numPr>
      </w:pPr>
      <w:r w:rsidRPr="00D86BA9">
        <w:t>Identification of Covert Actors:</w:t>
      </w:r>
    </w:p>
    <w:p w14:paraId="46A465FB" w14:textId="77777777" w:rsidR="00AD18EA" w:rsidRPr="00D86BA9" w:rsidRDefault="00AD18EA" w:rsidP="00AD18EA">
      <w:pPr>
        <w:pStyle w:val="ListParagraph"/>
        <w:numPr>
          <w:ilvl w:val="0"/>
          <w:numId w:val="10"/>
        </w:numPr>
      </w:pPr>
      <w:r w:rsidRPr="00D86BA9">
        <w:t>Who are the main covert actors influencing commercial determinants of global health?</w:t>
      </w:r>
    </w:p>
    <w:p w14:paraId="2BE921E1" w14:textId="77777777" w:rsidR="00AD18EA" w:rsidRPr="00D86BA9" w:rsidRDefault="00AD18EA" w:rsidP="00AD18EA">
      <w:pPr>
        <w:pStyle w:val="ListParagraph"/>
        <w:numPr>
          <w:ilvl w:val="0"/>
          <w:numId w:val="10"/>
        </w:numPr>
      </w:pPr>
      <w:r w:rsidRPr="00D86BA9">
        <w:lastRenderedPageBreak/>
        <w:t>What roles do multinational corporations, industry lobbyists, tech giants, arms manufacturers, and pharmaceutical companies play in shaping global health determinants?</w:t>
      </w:r>
    </w:p>
    <w:p w14:paraId="29C58A75" w14:textId="77777777" w:rsidR="00AD18EA" w:rsidRPr="00D86BA9" w:rsidRDefault="00AD18EA" w:rsidP="00AD18EA">
      <w:pPr>
        <w:pStyle w:val="ListParagraph"/>
        <w:numPr>
          <w:ilvl w:val="0"/>
          <w:numId w:val="9"/>
        </w:numPr>
      </w:pPr>
      <w:r w:rsidRPr="00D86BA9">
        <w:t>Geopolitical Dynamics:</w:t>
      </w:r>
    </w:p>
    <w:p w14:paraId="1A5D7C8E" w14:textId="77777777" w:rsidR="00AD18EA" w:rsidRPr="00D86BA9" w:rsidRDefault="00AD18EA" w:rsidP="00AD18EA">
      <w:pPr>
        <w:pStyle w:val="ListParagraph"/>
        <w:numPr>
          <w:ilvl w:val="0"/>
          <w:numId w:val="11"/>
        </w:numPr>
        <w:ind w:left="709"/>
      </w:pPr>
      <w:r w:rsidRPr="00D86BA9">
        <w:t>How do political interests, international relationships, and national policies influence commercial determinants of health?</w:t>
      </w:r>
    </w:p>
    <w:p w14:paraId="0F800318" w14:textId="77777777" w:rsidR="00AD18EA" w:rsidRPr="00D86BA9" w:rsidRDefault="00AD18EA" w:rsidP="00AD18EA">
      <w:pPr>
        <w:pStyle w:val="ListParagraph"/>
        <w:numPr>
          <w:ilvl w:val="0"/>
          <w:numId w:val="11"/>
        </w:numPr>
        <w:ind w:left="709"/>
      </w:pPr>
      <w:r w:rsidRPr="00D86BA9">
        <w:t>In what ways do hidden actors leverage geopolitical dynamics to their advantage?</w:t>
      </w:r>
    </w:p>
    <w:p w14:paraId="3D036957" w14:textId="77777777" w:rsidR="00AD18EA" w:rsidRPr="00D86BA9" w:rsidRDefault="00AD18EA" w:rsidP="00AD18EA">
      <w:pPr>
        <w:pStyle w:val="ListParagraph"/>
        <w:numPr>
          <w:ilvl w:val="0"/>
          <w:numId w:val="9"/>
        </w:numPr>
      </w:pPr>
      <w:r w:rsidRPr="00D86BA9">
        <w:t>Ethical Implications:</w:t>
      </w:r>
    </w:p>
    <w:p w14:paraId="46ECFC3B" w14:textId="77777777" w:rsidR="00AD18EA" w:rsidRPr="00D86BA9" w:rsidRDefault="00AD18EA" w:rsidP="00AD18EA">
      <w:pPr>
        <w:pStyle w:val="ListParagraph"/>
        <w:numPr>
          <w:ilvl w:val="0"/>
          <w:numId w:val="12"/>
        </w:numPr>
      </w:pPr>
      <w:r w:rsidRPr="00D86BA9">
        <w:t>What are the ethical implications of the covert influence of hidden actors on global health?</w:t>
      </w:r>
    </w:p>
    <w:p w14:paraId="0C95442B" w14:textId="77777777" w:rsidR="00AD18EA" w:rsidRPr="00D86BA9" w:rsidRDefault="00AD18EA" w:rsidP="00AD18EA">
      <w:pPr>
        <w:pStyle w:val="ListParagraph"/>
        <w:numPr>
          <w:ilvl w:val="0"/>
          <w:numId w:val="12"/>
        </w:numPr>
      </w:pPr>
      <w:r w:rsidRPr="00D86BA9">
        <w:t>How might these hidden actors exploit vulnerable populations, exacerbate health inequities, and contribute to environmental degradation?</w:t>
      </w:r>
    </w:p>
    <w:p w14:paraId="5564EC34" w14:textId="77777777" w:rsidR="00AD18EA" w:rsidRPr="00D86BA9" w:rsidRDefault="00AD18EA" w:rsidP="00AD18EA">
      <w:pPr>
        <w:pStyle w:val="ListParagraph"/>
        <w:numPr>
          <w:ilvl w:val="0"/>
          <w:numId w:val="9"/>
        </w:numPr>
      </w:pPr>
      <w:r w:rsidRPr="00D86BA9">
        <w:t>Policy Recommendations and Interventions:</w:t>
      </w:r>
    </w:p>
    <w:p w14:paraId="1BC664C7" w14:textId="77777777" w:rsidR="00AD18EA" w:rsidRPr="00D86BA9" w:rsidRDefault="00AD18EA" w:rsidP="00AD18EA">
      <w:pPr>
        <w:pStyle w:val="ListParagraph"/>
        <w:numPr>
          <w:ilvl w:val="0"/>
          <w:numId w:val="13"/>
        </w:numPr>
      </w:pPr>
      <w:r w:rsidRPr="00D86BA9">
        <w:t>Are there any best practices or innovative approaches from certain countries or regions that could be scaled up globally?</w:t>
      </w:r>
    </w:p>
    <w:p w14:paraId="2514F0A0" w14:textId="77777777" w:rsidR="00AD18EA" w:rsidRPr="00D86BA9" w:rsidRDefault="00AD18EA" w:rsidP="00AD18EA">
      <w:pPr>
        <w:pStyle w:val="ListParagraph"/>
        <w:numPr>
          <w:ilvl w:val="0"/>
          <w:numId w:val="13"/>
        </w:numPr>
        <w:rPr>
          <w:rFonts w:cstheme="majorHAnsi"/>
          <w:lang w:val="en-US"/>
        </w:rPr>
      </w:pPr>
      <w:r w:rsidRPr="00D86BA9">
        <w:rPr>
          <w:rFonts w:cstheme="majorHAnsi"/>
          <w:lang w:val="en-US"/>
        </w:rPr>
        <w:t>How can health promotion be the tool for reducing negative and enhancing positive impacts on commercial determinants of health?</w:t>
      </w:r>
    </w:p>
    <w:p w14:paraId="2F5FE4CC" w14:textId="77777777" w:rsidR="00AD18EA" w:rsidRPr="00D86BA9" w:rsidRDefault="00AD18EA" w:rsidP="00AD18EA">
      <w:pPr>
        <w:ind w:left="360"/>
      </w:pPr>
      <w:r w:rsidRPr="00D86BA9">
        <w:t>To make the discussions more robust, panelist will provide real-life examples and case studies of how hidden actors have influenced commercial determinants in various sectors like food and beverage, energy transition, new technologies, and pharmaceuticals.</w:t>
      </w:r>
    </w:p>
    <w:p w14:paraId="7FBD9013" w14:textId="77777777" w:rsidR="008F11CC" w:rsidRPr="00D86BA9" w:rsidRDefault="008F11CC" w:rsidP="002E127F">
      <w:pPr>
        <w:ind w:left="360"/>
        <w:rPr>
          <w:rFonts w:asciiTheme="majorHAnsi" w:hAnsiTheme="majorHAnsi" w:cstheme="majorHAnsi"/>
          <w:lang w:val="en-US"/>
        </w:rPr>
      </w:pPr>
    </w:p>
    <w:p w14:paraId="1F4AD2C1" w14:textId="77777777" w:rsidR="00E157E1" w:rsidRPr="00D86BA9" w:rsidRDefault="00E157E1" w:rsidP="00C26C90">
      <w:pPr>
        <w:jc w:val="both"/>
        <w:rPr>
          <w:rFonts w:asciiTheme="majorHAnsi" w:hAnsiTheme="majorHAnsi" w:cstheme="majorHAnsi"/>
          <w:b/>
          <w:bCs/>
          <w:lang w:val="en-US"/>
        </w:rPr>
      </w:pPr>
      <w:r w:rsidRPr="00D86BA9">
        <w:rPr>
          <w:rFonts w:asciiTheme="majorHAnsi" w:hAnsiTheme="majorHAnsi" w:cstheme="majorHAnsi"/>
          <w:b/>
          <w:bCs/>
          <w:lang w:val="en-US"/>
        </w:rPr>
        <w:t>Reference</w:t>
      </w:r>
    </w:p>
    <w:p w14:paraId="2892FEC1" w14:textId="3D631360" w:rsidR="00E157E1" w:rsidRPr="00D86BA9" w:rsidRDefault="00E9694D" w:rsidP="00E9694D">
      <w:pPr>
        <w:numPr>
          <w:ilvl w:val="0"/>
          <w:numId w:val="1"/>
        </w:numPr>
        <w:jc w:val="both"/>
        <w:rPr>
          <w:rFonts w:asciiTheme="majorHAnsi" w:hAnsiTheme="majorHAnsi" w:cstheme="majorHAnsi"/>
          <w:lang w:val="en-US"/>
        </w:rPr>
      </w:pPr>
      <w:bookmarkStart w:id="1" w:name="_Ref143586423"/>
      <w:proofErr w:type="spellStart"/>
      <w:r w:rsidRPr="00D86BA9">
        <w:rPr>
          <w:rFonts w:asciiTheme="majorHAnsi" w:hAnsiTheme="majorHAnsi" w:cstheme="majorHAnsi"/>
          <w:lang w:val="en-US"/>
        </w:rPr>
        <w:t>Kickbusch</w:t>
      </w:r>
      <w:proofErr w:type="spellEnd"/>
      <w:r w:rsidRPr="00D86BA9">
        <w:rPr>
          <w:rFonts w:asciiTheme="majorHAnsi" w:hAnsiTheme="majorHAnsi" w:cstheme="majorHAnsi"/>
          <w:lang w:val="en-US"/>
        </w:rPr>
        <w:t xml:space="preserve">, I., Allen, L. and Franz, C. (2016) ‘The commercial determinants of health’, The Lancet Global Health, 4(12). </w:t>
      </w:r>
      <w:proofErr w:type="gramStart"/>
      <w:r w:rsidRPr="00D86BA9">
        <w:rPr>
          <w:rFonts w:asciiTheme="majorHAnsi" w:hAnsiTheme="majorHAnsi" w:cstheme="majorHAnsi"/>
          <w:lang w:val="en-US"/>
        </w:rPr>
        <w:t>doi:</w:t>
      </w:r>
      <w:proofErr w:type="gramEnd"/>
      <w:r w:rsidRPr="00D86BA9">
        <w:rPr>
          <w:rFonts w:asciiTheme="majorHAnsi" w:hAnsiTheme="majorHAnsi" w:cstheme="majorHAnsi"/>
          <w:lang w:val="en-US"/>
        </w:rPr>
        <w:t>10.1016/s2214-109x(16)30217-0.</w:t>
      </w:r>
      <w:bookmarkEnd w:id="1"/>
    </w:p>
    <w:p w14:paraId="2A884A93" w14:textId="77777777" w:rsidR="002E7020" w:rsidRPr="00D86BA9" w:rsidRDefault="002E7020" w:rsidP="002E7020">
      <w:pPr>
        <w:numPr>
          <w:ilvl w:val="0"/>
          <w:numId w:val="1"/>
        </w:numPr>
        <w:jc w:val="both"/>
        <w:rPr>
          <w:rFonts w:asciiTheme="majorHAnsi" w:hAnsiTheme="majorHAnsi" w:cstheme="majorHAnsi"/>
          <w:lang w:val="en-US"/>
        </w:rPr>
      </w:pPr>
      <w:bookmarkStart w:id="2" w:name="_Ref143586473"/>
      <w:r w:rsidRPr="00D86BA9">
        <w:rPr>
          <w:rFonts w:asciiTheme="majorHAnsi" w:hAnsiTheme="majorHAnsi" w:cstheme="majorHAnsi"/>
          <w:lang w:val="sv-SE"/>
        </w:rPr>
        <w:t xml:space="preserve">Gilmore A., Fabbri A., Baum F. et al. </w:t>
      </w:r>
      <w:r w:rsidRPr="00D86BA9">
        <w:rPr>
          <w:rFonts w:asciiTheme="majorHAnsi" w:hAnsiTheme="majorHAnsi" w:cstheme="majorHAnsi"/>
          <w:lang w:val="en-US"/>
        </w:rPr>
        <w:t xml:space="preserve">(2023) Defining and </w:t>
      </w:r>
      <w:proofErr w:type="spellStart"/>
      <w:r w:rsidRPr="00D86BA9">
        <w:rPr>
          <w:rFonts w:asciiTheme="majorHAnsi" w:hAnsiTheme="majorHAnsi" w:cstheme="majorHAnsi"/>
          <w:lang w:val="en-US"/>
        </w:rPr>
        <w:t>conceptualising</w:t>
      </w:r>
      <w:proofErr w:type="spellEnd"/>
      <w:r w:rsidRPr="00D86BA9">
        <w:rPr>
          <w:rFonts w:asciiTheme="majorHAnsi" w:hAnsiTheme="majorHAnsi" w:cstheme="majorHAnsi"/>
          <w:lang w:val="en-US"/>
        </w:rPr>
        <w:t xml:space="preserve"> the commercial determinants of health. In Lancet series on commercial determinants of health. The Lancet https://doi.org/10.1016/S0140-6736(23)00013-2</w:t>
      </w:r>
      <w:bookmarkEnd w:id="2"/>
    </w:p>
    <w:p w14:paraId="745BF7D6" w14:textId="77777777" w:rsidR="00711F7B" w:rsidRDefault="00711F7B" w:rsidP="00711F7B">
      <w:pPr>
        <w:numPr>
          <w:ilvl w:val="0"/>
          <w:numId w:val="1"/>
        </w:numPr>
        <w:jc w:val="both"/>
        <w:rPr>
          <w:rFonts w:asciiTheme="majorHAnsi" w:hAnsiTheme="majorHAnsi" w:cstheme="majorHAnsi"/>
          <w:lang w:val="en-US"/>
        </w:rPr>
      </w:pPr>
      <w:bookmarkStart w:id="3" w:name="_Ref143586485"/>
      <w:proofErr w:type="spellStart"/>
      <w:r w:rsidRPr="00D86BA9">
        <w:rPr>
          <w:rFonts w:asciiTheme="majorHAnsi" w:hAnsiTheme="majorHAnsi" w:cstheme="majorHAnsi"/>
          <w:lang w:val="en-US"/>
        </w:rPr>
        <w:t>Mialon</w:t>
      </w:r>
      <w:proofErr w:type="spellEnd"/>
      <w:r w:rsidRPr="00D86BA9">
        <w:rPr>
          <w:rFonts w:asciiTheme="majorHAnsi" w:hAnsiTheme="majorHAnsi" w:cstheme="majorHAnsi"/>
          <w:lang w:val="en-US"/>
        </w:rPr>
        <w:t xml:space="preserve"> M. An overview of the commercial determinants of health. Globalization and health. 2020;16(1):74</w:t>
      </w:r>
      <w:bookmarkEnd w:id="3"/>
    </w:p>
    <w:p w14:paraId="716B50BF" w14:textId="77777777" w:rsidR="00825274" w:rsidRPr="00D86BA9" w:rsidRDefault="00825274" w:rsidP="00825274">
      <w:pPr>
        <w:numPr>
          <w:ilvl w:val="0"/>
          <w:numId w:val="1"/>
        </w:numPr>
        <w:jc w:val="both"/>
        <w:rPr>
          <w:rFonts w:asciiTheme="majorHAnsi" w:hAnsiTheme="majorHAnsi" w:cstheme="majorHAnsi"/>
          <w:lang w:val="en-US"/>
        </w:rPr>
      </w:pPr>
      <w:bookmarkStart w:id="4" w:name="_Ref143586568"/>
      <w:proofErr w:type="spellStart"/>
      <w:r w:rsidRPr="00D86BA9">
        <w:rPr>
          <w:rFonts w:asciiTheme="majorHAnsi" w:hAnsiTheme="majorHAnsi" w:cstheme="majorHAnsi"/>
          <w:lang w:val="en-US"/>
        </w:rPr>
        <w:t>Ghebreyesus</w:t>
      </w:r>
      <w:proofErr w:type="spellEnd"/>
      <w:r w:rsidRPr="00D86BA9">
        <w:rPr>
          <w:rFonts w:asciiTheme="majorHAnsi" w:hAnsiTheme="majorHAnsi" w:cstheme="majorHAnsi"/>
          <w:lang w:val="en-US"/>
        </w:rPr>
        <w:t>, T. A. (2023). Achieving health for all requires action on the economic and commercial determinants of health. In Lancet series on commercial determinants of health. The Lancet ttps://doi.org/10.1016/S0140-6736(23)00574-3</w:t>
      </w:r>
      <w:bookmarkEnd w:id="4"/>
      <w:r w:rsidRPr="00D86BA9">
        <w:rPr>
          <w:rFonts w:asciiTheme="majorHAnsi" w:hAnsiTheme="majorHAnsi" w:cstheme="majorHAnsi"/>
        </w:rPr>
        <w:t xml:space="preserve"> </w:t>
      </w:r>
    </w:p>
    <w:p w14:paraId="2D28079A" w14:textId="2DC73154" w:rsidR="002764F1" w:rsidRDefault="002764F1" w:rsidP="002764F1">
      <w:pPr>
        <w:numPr>
          <w:ilvl w:val="0"/>
          <w:numId w:val="1"/>
        </w:numPr>
        <w:jc w:val="both"/>
        <w:rPr>
          <w:rFonts w:asciiTheme="majorHAnsi" w:hAnsiTheme="majorHAnsi" w:cstheme="majorHAnsi"/>
          <w:lang w:val="en-US"/>
        </w:rPr>
      </w:pPr>
      <w:bookmarkStart w:id="5" w:name="_Ref143586613"/>
      <w:proofErr w:type="spellStart"/>
      <w:r w:rsidRPr="002764F1">
        <w:rPr>
          <w:rFonts w:asciiTheme="majorHAnsi" w:hAnsiTheme="majorHAnsi" w:cstheme="majorHAnsi"/>
          <w:lang w:val="en-US"/>
        </w:rPr>
        <w:t>Gopinathan</w:t>
      </w:r>
      <w:proofErr w:type="spellEnd"/>
      <w:r w:rsidRPr="002764F1">
        <w:rPr>
          <w:rFonts w:asciiTheme="majorHAnsi" w:hAnsiTheme="majorHAnsi" w:cstheme="majorHAnsi"/>
          <w:lang w:val="en-US"/>
        </w:rPr>
        <w:t>, U. et al. (2014) ‘</w:t>
      </w:r>
      <w:proofErr w:type="gramStart"/>
      <w:r w:rsidRPr="002764F1">
        <w:rPr>
          <w:rFonts w:asciiTheme="majorHAnsi" w:hAnsiTheme="majorHAnsi" w:cstheme="majorHAnsi"/>
          <w:lang w:val="en-US"/>
        </w:rPr>
        <w:t>The</w:t>
      </w:r>
      <w:proofErr w:type="gramEnd"/>
      <w:r w:rsidRPr="002764F1">
        <w:rPr>
          <w:rFonts w:asciiTheme="majorHAnsi" w:hAnsiTheme="majorHAnsi" w:cstheme="majorHAnsi"/>
          <w:lang w:val="en-US"/>
        </w:rPr>
        <w:t xml:space="preserve"> political origins of health inequity: The perspective of the youth commission on global governance for health’, The Lancet, 383(9917). </w:t>
      </w:r>
      <w:proofErr w:type="gramStart"/>
      <w:r w:rsidRPr="002764F1">
        <w:rPr>
          <w:rFonts w:asciiTheme="majorHAnsi" w:hAnsiTheme="majorHAnsi" w:cstheme="majorHAnsi"/>
          <w:lang w:val="en-US"/>
        </w:rPr>
        <w:t>doi:</w:t>
      </w:r>
      <w:proofErr w:type="gramEnd"/>
      <w:r w:rsidRPr="002764F1">
        <w:rPr>
          <w:rFonts w:asciiTheme="majorHAnsi" w:hAnsiTheme="majorHAnsi" w:cstheme="majorHAnsi"/>
          <w:lang w:val="en-US"/>
        </w:rPr>
        <w:t>10.1016/s0140-6736(14)60050-7.</w:t>
      </w:r>
      <w:bookmarkEnd w:id="5"/>
    </w:p>
    <w:p w14:paraId="02C4AE4A" w14:textId="6AF7BD53" w:rsidR="00CE5062" w:rsidRPr="00D86BA9" w:rsidRDefault="00CE5062" w:rsidP="00CE5062">
      <w:pPr>
        <w:numPr>
          <w:ilvl w:val="0"/>
          <w:numId w:val="1"/>
        </w:numPr>
        <w:jc w:val="both"/>
        <w:rPr>
          <w:rFonts w:asciiTheme="majorHAnsi" w:hAnsiTheme="majorHAnsi" w:cstheme="majorHAnsi"/>
          <w:lang w:val="en-US"/>
        </w:rPr>
      </w:pPr>
      <w:bookmarkStart w:id="6" w:name="_Ref143587252"/>
      <w:r w:rsidRPr="00CE5062">
        <w:rPr>
          <w:rFonts w:asciiTheme="majorHAnsi" w:hAnsiTheme="majorHAnsi" w:cstheme="majorHAnsi"/>
          <w:lang w:val="en-US"/>
        </w:rPr>
        <w:t xml:space="preserve">Willett, W. et al. (2019) ‘Food in the </w:t>
      </w:r>
      <w:proofErr w:type="spellStart"/>
      <w:r w:rsidRPr="00CE5062">
        <w:rPr>
          <w:rFonts w:asciiTheme="majorHAnsi" w:hAnsiTheme="majorHAnsi" w:cstheme="majorHAnsi"/>
          <w:lang w:val="en-US"/>
        </w:rPr>
        <w:t>anthropocene</w:t>
      </w:r>
      <w:proofErr w:type="spellEnd"/>
      <w:r w:rsidRPr="00CE5062">
        <w:rPr>
          <w:rFonts w:asciiTheme="majorHAnsi" w:hAnsiTheme="majorHAnsi" w:cstheme="majorHAnsi"/>
          <w:lang w:val="en-US"/>
        </w:rPr>
        <w:t xml:space="preserve">: The eat–lancet commission on healthy diets from sustainable food systems’, The Lancet, 393(10170), pp. 447–492. </w:t>
      </w:r>
      <w:proofErr w:type="gramStart"/>
      <w:r w:rsidRPr="00CE5062">
        <w:rPr>
          <w:rFonts w:asciiTheme="majorHAnsi" w:hAnsiTheme="majorHAnsi" w:cstheme="majorHAnsi"/>
          <w:lang w:val="en-US"/>
        </w:rPr>
        <w:t>doi:</w:t>
      </w:r>
      <w:proofErr w:type="gramEnd"/>
      <w:r w:rsidRPr="00CE5062">
        <w:rPr>
          <w:rFonts w:asciiTheme="majorHAnsi" w:hAnsiTheme="majorHAnsi" w:cstheme="majorHAnsi"/>
          <w:lang w:val="en-US"/>
        </w:rPr>
        <w:t>10.1016/s0140-6736(18)31788-4.</w:t>
      </w:r>
      <w:bookmarkEnd w:id="6"/>
    </w:p>
    <w:p w14:paraId="18ABE6B8" w14:textId="599A2A2C" w:rsidR="00B81451" w:rsidRPr="00D86BA9" w:rsidRDefault="00B81451" w:rsidP="00B81451">
      <w:pPr>
        <w:numPr>
          <w:ilvl w:val="0"/>
          <w:numId w:val="1"/>
        </w:numPr>
        <w:jc w:val="both"/>
        <w:rPr>
          <w:rFonts w:asciiTheme="majorHAnsi" w:hAnsiTheme="majorHAnsi" w:cstheme="majorHAnsi"/>
          <w:lang w:val="en-US"/>
        </w:rPr>
      </w:pPr>
      <w:bookmarkStart w:id="7" w:name="_Ref143587308"/>
      <w:proofErr w:type="spellStart"/>
      <w:r w:rsidRPr="00D86BA9">
        <w:rPr>
          <w:rFonts w:asciiTheme="majorHAnsi" w:hAnsiTheme="majorHAnsi" w:cstheme="majorHAnsi"/>
          <w:lang w:val="en-US"/>
        </w:rPr>
        <w:t>Maani</w:t>
      </w:r>
      <w:proofErr w:type="spellEnd"/>
      <w:r w:rsidRPr="00D86BA9">
        <w:rPr>
          <w:rFonts w:asciiTheme="majorHAnsi" w:hAnsiTheme="majorHAnsi" w:cstheme="majorHAnsi"/>
          <w:lang w:val="en-US"/>
        </w:rPr>
        <w:t xml:space="preserve">, N. (2018). Commercial determinants of health: A call for government action. World Medical &amp; Health Policy, 10(1), 49-60. </w:t>
      </w:r>
      <w:hyperlink r:id="rId62" w:history="1">
        <w:r w:rsidR="00633981" w:rsidRPr="00D86BA9">
          <w:rPr>
            <w:rStyle w:val="Hyperlink"/>
            <w:rFonts w:asciiTheme="majorHAnsi" w:hAnsiTheme="majorHAnsi" w:cstheme="majorHAnsi"/>
            <w:lang w:val="en-US"/>
          </w:rPr>
          <w:t>https://doi.org/10.1002/wmh3.250</w:t>
        </w:r>
      </w:hyperlink>
      <w:bookmarkEnd w:id="7"/>
    </w:p>
    <w:p w14:paraId="52A3A185" w14:textId="386B76DA" w:rsidR="00633981" w:rsidRPr="00D86BA9" w:rsidRDefault="00633981" w:rsidP="00633981">
      <w:pPr>
        <w:numPr>
          <w:ilvl w:val="0"/>
          <w:numId w:val="1"/>
        </w:numPr>
        <w:jc w:val="both"/>
        <w:rPr>
          <w:rFonts w:asciiTheme="majorHAnsi" w:hAnsiTheme="majorHAnsi" w:cstheme="majorHAnsi"/>
          <w:lang w:val="en-US"/>
        </w:rPr>
      </w:pPr>
      <w:bookmarkStart w:id="8" w:name="_Ref143587378"/>
      <w:proofErr w:type="spellStart"/>
      <w:r w:rsidRPr="00D86BA9">
        <w:rPr>
          <w:rFonts w:asciiTheme="majorHAnsi" w:hAnsiTheme="majorHAnsi" w:cstheme="majorHAnsi"/>
          <w:lang w:val="en-US"/>
        </w:rPr>
        <w:t>Ulucanlar</w:t>
      </w:r>
      <w:proofErr w:type="spellEnd"/>
      <w:r w:rsidRPr="00D86BA9">
        <w:rPr>
          <w:rFonts w:asciiTheme="majorHAnsi" w:hAnsiTheme="majorHAnsi" w:cstheme="majorHAnsi"/>
          <w:lang w:val="en-US"/>
        </w:rPr>
        <w:t xml:space="preserve"> S, </w:t>
      </w:r>
      <w:proofErr w:type="spellStart"/>
      <w:r w:rsidRPr="00D86BA9">
        <w:rPr>
          <w:rFonts w:asciiTheme="majorHAnsi" w:hAnsiTheme="majorHAnsi" w:cstheme="majorHAnsi"/>
          <w:lang w:val="en-US"/>
        </w:rPr>
        <w:t>Fooks</w:t>
      </w:r>
      <w:proofErr w:type="spellEnd"/>
      <w:r w:rsidRPr="00D86BA9">
        <w:rPr>
          <w:rFonts w:asciiTheme="majorHAnsi" w:hAnsiTheme="majorHAnsi" w:cstheme="majorHAnsi"/>
          <w:lang w:val="en-US"/>
        </w:rPr>
        <w:t xml:space="preserve"> GJ, </w:t>
      </w:r>
      <w:proofErr w:type="spellStart"/>
      <w:r w:rsidRPr="00D86BA9">
        <w:rPr>
          <w:rFonts w:asciiTheme="majorHAnsi" w:hAnsiTheme="majorHAnsi" w:cstheme="majorHAnsi"/>
          <w:lang w:val="en-US"/>
        </w:rPr>
        <w:t>Hatchard</w:t>
      </w:r>
      <w:proofErr w:type="spellEnd"/>
      <w:r w:rsidRPr="00D86BA9">
        <w:rPr>
          <w:rFonts w:asciiTheme="majorHAnsi" w:hAnsiTheme="majorHAnsi" w:cstheme="majorHAnsi"/>
          <w:lang w:val="en-US"/>
        </w:rPr>
        <w:t xml:space="preserve"> JL, Gilmore AB. Representation and misrepresentation of scientific evidence in contemporary tobacco regulation: a review of tobacco industry </w:t>
      </w:r>
      <w:r w:rsidRPr="00D86BA9">
        <w:rPr>
          <w:rFonts w:asciiTheme="majorHAnsi" w:hAnsiTheme="majorHAnsi" w:cstheme="majorHAnsi"/>
          <w:lang w:val="en-US"/>
        </w:rPr>
        <w:lastRenderedPageBreak/>
        <w:t xml:space="preserve">submissions to the UK government consultation on </w:t>
      </w:r>
      <w:proofErr w:type="spellStart"/>
      <w:r w:rsidRPr="00D86BA9">
        <w:rPr>
          <w:rFonts w:asciiTheme="majorHAnsi" w:hAnsiTheme="majorHAnsi" w:cstheme="majorHAnsi"/>
          <w:lang w:val="en-US"/>
        </w:rPr>
        <w:t>standardised</w:t>
      </w:r>
      <w:proofErr w:type="spellEnd"/>
      <w:r w:rsidRPr="00D86BA9">
        <w:rPr>
          <w:rFonts w:asciiTheme="majorHAnsi" w:hAnsiTheme="majorHAnsi" w:cstheme="majorHAnsi"/>
          <w:lang w:val="en-US"/>
        </w:rPr>
        <w:t xml:space="preserve"> packaging. </w:t>
      </w:r>
      <w:proofErr w:type="spellStart"/>
      <w:r w:rsidRPr="00D86BA9">
        <w:rPr>
          <w:rFonts w:asciiTheme="majorHAnsi" w:hAnsiTheme="majorHAnsi" w:cstheme="majorHAnsi"/>
          <w:lang w:val="en-US"/>
        </w:rPr>
        <w:t>PLoS</w:t>
      </w:r>
      <w:proofErr w:type="spellEnd"/>
      <w:r w:rsidRPr="00D86BA9">
        <w:rPr>
          <w:rFonts w:asciiTheme="majorHAnsi" w:hAnsiTheme="majorHAnsi" w:cstheme="majorHAnsi"/>
          <w:lang w:val="en-US"/>
        </w:rPr>
        <w:t xml:space="preserve"> Med. 2014</w:t>
      </w:r>
      <w:proofErr w:type="gramStart"/>
      <w:r w:rsidRPr="00D86BA9">
        <w:rPr>
          <w:rFonts w:asciiTheme="majorHAnsi" w:hAnsiTheme="majorHAnsi" w:cstheme="majorHAnsi"/>
          <w:lang w:val="en-US"/>
        </w:rPr>
        <w:t>;11</w:t>
      </w:r>
      <w:proofErr w:type="gramEnd"/>
      <w:r w:rsidRPr="00D86BA9">
        <w:rPr>
          <w:rFonts w:asciiTheme="majorHAnsi" w:hAnsiTheme="majorHAnsi" w:cstheme="majorHAnsi"/>
          <w:lang w:val="en-US"/>
        </w:rPr>
        <w:t>(3):e1001629.</w:t>
      </w:r>
      <w:bookmarkEnd w:id="8"/>
    </w:p>
    <w:p w14:paraId="331B1137" w14:textId="77777777" w:rsidR="00AB6123" w:rsidRPr="00D86BA9" w:rsidRDefault="00141287" w:rsidP="00AB6123">
      <w:pPr>
        <w:numPr>
          <w:ilvl w:val="0"/>
          <w:numId w:val="1"/>
        </w:numPr>
        <w:jc w:val="both"/>
        <w:rPr>
          <w:rFonts w:asciiTheme="majorHAnsi" w:hAnsiTheme="majorHAnsi" w:cstheme="majorHAnsi"/>
          <w:lang w:val="en-US"/>
        </w:rPr>
      </w:pPr>
      <w:bookmarkStart w:id="9" w:name="_Ref143587588"/>
      <w:proofErr w:type="spellStart"/>
      <w:r w:rsidRPr="00D86BA9">
        <w:rPr>
          <w:rFonts w:asciiTheme="majorHAnsi" w:hAnsiTheme="majorHAnsi" w:cstheme="majorHAnsi"/>
          <w:lang w:val="en-US"/>
        </w:rPr>
        <w:t>Supran</w:t>
      </w:r>
      <w:proofErr w:type="spellEnd"/>
      <w:r w:rsidRPr="00D86BA9">
        <w:rPr>
          <w:rFonts w:asciiTheme="majorHAnsi" w:hAnsiTheme="majorHAnsi" w:cstheme="majorHAnsi"/>
          <w:lang w:val="en-US"/>
        </w:rPr>
        <w:t xml:space="preserve"> G, </w:t>
      </w:r>
      <w:proofErr w:type="spellStart"/>
      <w:r w:rsidRPr="00D86BA9">
        <w:rPr>
          <w:rFonts w:asciiTheme="majorHAnsi" w:hAnsiTheme="majorHAnsi" w:cstheme="majorHAnsi"/>
          <w:lang w:val="en-US"/>
        </w:rPr>
        <w:t>Rahmstorf</w:t>
      </w:r>
      <w:proofErr w:type="spellEnd"/>
      <w:r w:rsidRPr="00D86BA9">
        <w:rPr>
          <w:rFonts w:asciiTheme="majorHAnsi" w:hAnsiTheme="majorHAnsi" w:cstheme="majorHAnsi"/>
          <w:lang w:val="en-US"/>
        </w:rPr>
        <w:t xml:space="preserve"> S, </w:t>
      </w:r>
      <w:proofErr w:type="spellStart"/>
      <w:r w:rsidRPr="00D86BA9">
        <w:rPr>
          <w:rFonts w:asciiTheme="majorHAnsi" w:hAnsiTheme="majorHAnsi" w:cstheme="majorHAnsi"/>
          <w:lang w:val="en-US"/>
        </w:rPr>
        <w:t>Oreskes</w:t>
      </w:r>
      <w:proofErr w:type="spellEnd"/>
      <w:r w:rsidRPr="00D86BA9">
        <w:rPr>
          <w:rFonts w:asciiTheme="majorHAnsi" w:hAnsiTheme="majorHAnsi" w:cstheme="majorHAnsi"/>
          <w:lang w:val="en-US"/>
        </w:rPr>
        <w:t xml:space="preserve"> N. Assessing ExxonMobil's global warming projections. Science. 2023 Jan 13</w:t>
      </w:r>
      <w:proofErr w:type="gramStart"/>
      <w:r w:rsidRPr="00D86BA9">
        <w:rPr>
          <w:rFonts w:asciiTheme="majorHAnsi" w:hAnsiTheme="majorHAnsi" w:cstheme="majorHAnsi"/>
          <w:lang w:val="en-US"/>
        </w:rPr>
        <w:t>;379</w:t>
      </w:r>
      <w:proofErr w:type="gramEnd"/>
      <w:r w:rsidRPr="00D86BA9">
        <w:rPr>
          <w:rFonts w:asciiTheme="majorHAnsi" w:hAnsiTheme="majorHAnsi" w:cstheme="majorHAnsi"/>
          <w:lang w:val="en-US"/>
        </w:rPr>
        <w:t xml:space="preserve">(6628):eabk0063. </w:t>
      </w:r>
      <w:proofErr w:type="spellStart"/>
      <w:proofErr w:type="gramStart"/>
      <w:r w:rsidRPr="00D86BA9">
        <w:rPr>
          <w:rFonts w:asciiTheme="majorHAnsi" w:hAnsiTheme="majorHAnsi" w:cstheme="majorHAnsi"/>
          <w:lang w:val="en-US"/>
        </w:rPr>
        <w:t>doi</w:t>
      </w:r>
      <w:proofErr w:type="spellEnd"/>
      <w:proofErr w:type="gramEnd"/>
      <w:r w:rsidRPr="00D86BA9">
        <w:rPr>
          <w:rFonts w:asciiTheme="majorHAnsi" w:hAnsiTheme="majorHAnsi" w:cstheme="majorHAnsi"/>
          <w:lang w:val="en-US"/>
        </w:rPr>
        <w:t xml:space="preserve">: 10.1126/science.abk0063. </w:t>
      </w:r>
      <w:proofErr w:type="spellStart"/>
      <w:r w:rsidRPr="00D86BA9">
        <w:rPr>
          <w:rFonts w:asciiTheme="majorHAnsi" w:hAnsiTheme="majorHAnsi" w:cstheme="majorHAnsi"/>
          <w:lang w:val="en-US"/>
        </w:rPr>
        <w:t>Epub</w:t>
      </w:r>
      <w:proofErr w:type="spellEnd"/>
      <w:r w:rsidRPr="00D86BA9">
        <w:rPr>
          <w:rFonts w:asciiTheme="majorHAnsi" w:hAnsiTheme="majorHAnsi" w:cstheme="majorHAnsi"/>
          <w:lang w:val="en-US"/>
        </w:rPr>
        <w:t xml:space="preserve"> 2023 Dec 16. PMID: 36634176.</w:t>
      </w:r>
      <w:bookmarkEnd w:id="9"/>
    </w:p>
    <w:p w14:paraId="75F67527" w14:textId="77777777" w:rsidR="007A4573" w:rsidRPr="00D86BA9" w:rsidRDefault="007A4573" w:rsidP="007A4573">
      <w:pPr>
        <w:numPr>
          <w:ilvl w:val="0"/>
          <w:numId w:val="1"/>
        </w:numPr>
        <w:jc w:val="both"/>
        <w:rPr>
          <w:rFonts w:asciiTheme="majorHAnsi" w:hAnsiTheme="majorHAnsi" w:cstheme="majorHAnsi"/>
          <w:lang w:val="en-US"/>
        </w:rPr>
      </w:pPr>
      <w:bookmarkStart w:id="10" w:name="_Ref143587600"/>
      <w:proofErr w:type="spellStart"/>
      <w:r w:rsidRPr="00D86BA9">
        <w:rPr>
          <w:rFonts w:asciiTheme="majorHAnsi" w:hAnsiTheme="majorHAnsi" w:cstheme="majorHAnsi"/>
          <w:lang w:val="en-US"/>
        </w:rPr>
        <w:t>Mialon</w:t>
      </w:r>
      <w:proofErr w:type="spellEnd"/>
      <w:r w:rsidRPr="00D86BA9">
        <w:rPr>
          <w:rFonts w:asciiTheme="majorHAnsi" w:hAnsiTheme="majorHAnsi" w:cstheme="majorHAnsi"/>
          <w:lang w:val="en-US"/>
        </w:rPr>
        <w:t xml:space="preserve">, M., </w:t>
      </w:r>
      <w:proofErr w:type="spellStart"/>
      <w:r w:rsidRPr="00D86BA9">
        <w:rPr>
          <w:rFonts w:asciiTheme="majorHAnsi" w:hAnsiTheme="majorHAnsi" w:cstheme="majorHAnsi"/>
          <w:lang w:val="en-US"/>
        </w:rPr>
        <w:t>Corvalan</w:t>
      </w:r>
      <w:proofErr w:type="spellEnd"/>
      <w:r w:rsidRPr="00D86BA9">
        <w:rPr>
          <w:rFonts w:asciiTheme="majorHAnsi" w:hAnsiTheme="majorHAnsi" w:cstheme="majorHAnsi"/>
          <w:lang w:val="en-US"/>
        </w:rPr>
        <w:t xml:space="preserve">, C., </w:t>
      </w:r>
      <w:proofErr w:type="spellStart"/>
      <w:r w:rsidRPr="00D86BA9">
        <w:rPr>
          <w:rFonts w:asciiTheme="majorHAnsi" w:hAnsiTheme="majorHAnsi" w:cstheme="majorHAnsi"/>
          <w:lang w:val="en-US"/>
        </w:rPr>
        <w:t>Cediel</w:t>
      </w:r>
      <w:proofErr w:type="spellEnd"/>
      <w:r w:rsidRPr="00D86BA9">
        <w:rPr>
          <w:rFonts w:asciiTheme="majorHAnsi" w:hAnsiTheme="majorHAnsi" w:cstheme="majorHAnsi"/>
          <w:lang w:val="en-US"/>
        </w:rPr>
        <w:t>, G. et al. Food industry political practices in Chile: “the economy has always been the main concern”. Global Health 16, 107 (2020). https://doi.org/10.1186/s12992-020-00638-4</w:t>
      </w:r>
      <w:bookmarkEnd w:id="10"/>
    </w:p>
    <w:p w14:paraId="6606AEB0" w14:textId="2B661F7C" w:rsidR="007A4573" w:rsidRPr="00D86BA9" w:rsidRDefault="007A4573" w:rsidP="007A4573">
      <w:pPr>
        <w:numPr>
          <w:ilvl w:val="0"/>
          <w:numId w:val="1"/>
        </w:numPr>
        <w:jc w:val="both"/>
        <w:rPr>
          <w:rFonts w:asciiTheme="majorHAnsi" w:hAnsiTheme="majorHAnsi" w:cstheme="majorHAnsi"/>
          <w:lang w:val="en-US"/>
        </w:rPr>
      </w:pPr>
      <w:bookmarkStart w:id="11" w:name="_Ref143587611"/>
      <w:r>
        <w:rPr>
          <w:rFonts w:asciiTheme="majorHAnsi" w:hAnsiTheme="majorHAnsi" w:cstheme="majorHAnsi"/>
          <w:lang w:val="en-US"/>
        </w:rPr>
        <w:t>V</w:t>
      </w:r>
      <w:r w:rsidRPr="00D86BA9">
        <w:rPr>
          <w:rFonts w:asciiTheme="majorHAnsi" w:hAnsiTheme="majorHAnsi" w:cstheme="majorHAnsi"/>
          <w:lang w:val="en-US"/>
        </w:rPr>
        <w:t xml:space="preserve">an der </w:t>
      </w:r>
      <w:proofErr w:type="spellStart"/>
      <w:r w:rsidRPr="00D86BA9">
        <w:rPr>
          <w:rFonts w:asciiTheme="majorHAnsi" w:hAnsiTheme="majorHAnsi" w:cstheme="majorHAnsi"/>
          <w:lang w:val="en-US"/>
        </w:rPr>
        <w:t>Eijk</w:t>
      </w:r>
      <w:proofErr w:type="spellEnd"/>
      <w:r w:rsidRPr="00D86BA9">
        <w:rPr>
          <w:rFonts w:asciiTheme="majorHAnsi" w:hAnsiTheme="majorHAnsi" w:cstheme="majorHAnsi"/>
          <w:lang w:val="en-US"/>
        </w:rPr>
        <w:t xml:space="preserve"> Y, </w:t>
      </w:r>
      <w:proofErr w:type="spellStart"/>
      <w:r w:rsidRPr="00D86BA9">
        <w:rPr>
          <w:rFonts w:asciiTheme="majorHAnsi" w:hAnsiTheme="majorHAnsi" w:cstheme="majorHAnsi"/>
          <w:lang w:val="en-US"/>
        </w:rPr>
        <w:t>Bero</w:t>
      </w:r>
      <w:proofErr w:type="spellEnd"/>
      <w:r w:rsidRPr="00D86BA9">
        <w:rPr>
          <w:rFonts w:asciiTheme="majorHAnsi" w:hAnsiTheme="majorHAnsi" w:cstheme="majorHAnsi"/>
          <w:lang w:val="en-US"/>
        </w:rPr>
        <w:t xml:space="preserve"> LA, Malone RE. Philip Morris International-funded 'Foundation for a Smoke-Free World': </w:t>
      </w:r>
      <w:proofErr w:type="spellStart"/>
      <w:r w:rsidRPr="00D86BA9">
        <w:rPr>
          <w:rFonts w:asciiTheme="majorHAnsi" w:hAnsiTheme="majorHAnsi" w:cstheme="majorHAnsi"/>
          <w:lang w:val="en-US"/>
        </w:rPr>
        <w:t>analysing</w:t>
      </w:r>
      <w:proofErr w:type="spellEnd"/>
      <w:r w:rsidRPr="00D86BA9">
        <w:rPr>
          <w:rFonts w:asciiTheme="majorHAnsi" w:hAnsiTheme="majorHAnsi" w:cstheme="majorHAnsi"/>
          <w:lang w:val="en-US"/>
        </w:rPr>
        <w:t xml:space="preserve"> its claims of independence. </w:t>
      </w:r>
      <w:proofErr w:type="spellStart"/>
      <w:r w:rsidRPr="00D86BA9">
        <w:rPr>
          <w:rFonts w:asciiTheme="majorHAnsi" w:hAnsiTheme="majorHAnsi" w:cstheme="majorHAnsi"/>
          <w:lang w:val="en-US"/>
        </w:rPr>
        <w:t>Tob</w:t>
      </w:r>
      <w:proofErr w:type="spellEnd"/>
      <w:r w:rsidRPr="00D86BA9">
        <w:rPr>
          <w:rFonts w:asciiTheme="majorHAnsi" w:hAnsiTheme="majorHAnsi" w:cstheme="majorHAnsi"/>
          <w:lang w:val="en-US"/>
        </w:rPr>
        <w:t xml:space="preserve"> Control. 2019 Nov</w:t>
      </w:r>
      <w:proofErr w:type="gramStart"/>
      <w:r w:rsidRPr="00D86BA9">
        <w:rPr>
          <w:rFonts w:asciiTheme="majorHAnsi" w:hAnsiTheme="majorHAnsi" w:cstheme="majorHAnsi"/>
          <w:lang w:val="en-US"/>
        </w:rPr>
        <w:t>;28</w:t>
      </w:r>
      <w:proofErr w:type="gramEnd"/>
      <w:r w:rsidRPr="00D86BA9">
        <w:rPr>
          <w:rFonts w:asciiTheme="majorHAnsi" w:hAnsiTheme="majorHAnsi" w:cstheme="majorHAnsi"/>
          <w:lang w:val="en-US"/>
        </w:rPr>
        <w:t xml:space="preserve">(6):712-718. </w:t>
      </w:r>
      <w:proofErr w:type="spellStart"/>
      <w:proofErr w:type="gramStart"/>
      <w:r w:rsidRPr="00D86BA9">
        <w:rPr>
          <w:rFonts w:asciiTheme="majorHAnsi" w:hAnsiTheme="majorHAnsi" w:cstheme="majorHAnsi"/>
          <w:lang w:val="en-US"/>
        </w:rPr>
        <w:t>doi</w:t>
      </w:r>
      <w:proofErr w:type="spellEnd"/>
      <w:proofErr w:type="gramEnd"/>
      <w:r w:rsidRPr="00D86BA9">
        <w:rPr>
          <w:rFonts w:asciiTheme="majorHAnsi" w:hAnsiTheme="majorHAnsi" w:cstheme="majorHAnsi"/>
          <w:lang w:val="en-US"/>
        </w:rPr>
        <w:t xml:space="preserve">: 10.1136/tobaccocontrol-2018-054278. </w:t>
      </w:r>
      <w:proofErr w:type="spellStart"/>
      <w:r w:rsidRPr="00D86BA9">
        <w:rPr>
          <w:rFonts w:asciiTheme="majorHAnsi" w:hAnsiTheme="majorHAnsi" w:cstheme="majorHAnsi"/>
          <w:lang w:val="en-US"/>
        </w:rPr>
        <w:t>Epub</w:t>
      </w:r>
      <w:proofErr w:type="spellEnd"/>
      <w:r w:rsidRPr="00D86BA9">
        <w:rPr>
          <w:rFonts w:asciiTheme="majorHAnsi" w:hAnsiTheme="majorHAnsi" w:cstheme="majorHAnsi"/>
          <w:lang w:val="en-US"/>
        </w:rPr>
        <w:t xml:space="preserve"> 2018 Sep 21. PMID: 30242044.</w:t>
      </w:r>
      <w:bookmarkEnd w:id="11"/>
    </w:p>
    <w:p w14:paraId="7A8067E1" w14:textId="77777777" w:rsidR="007A4573" w:rsidRPr="00D86BA9" w:rsidRDefault="007A4573" w:rsidP="007A4573">
      <w:pPr>
        <w:numPr>
          <w:ilvl w:val="0"/>
          <w:numId w:val="1"/>
        </w:numPr>
        <w:jc w:val="both"/>
        <w:rPr>
          <w:rFonts w:asciiTheme="majorHAnsi" w:hAnsiTheme="majorHAnsi" w:cstheme="majorHAnsi"/>
          <w:lang w:val="en-US"/>
        </w:rPr>
      </w:pPr>
      <w:bookmarkStart w:id="12" w:name="_Ref143587625"/>
      <w:r w:rsidRPr="00D86BA9">
        <w:rPr>
          <w:rFonts w:asciiTheme="majorHAnsi" w:hAnsiTheme="majorHAnsi" w:cstheme="majorHAnsi"/>
          <w:lang w:val="sv-SE"/>
        </w:rPr>
        <w:t xml:space="preserve">Supran, G., Rahmstorf, S., &amp; Oreskes, N. (2023). </w:t>
      </w:r>
      <w:r w:rsidRPr="00D86BA9">
        <w:rPr>
          <w:rFonts w:asciiTheme="majorHAnsi" w:hAnsiTheme="majorHAnsi" w:cstheme="majorHAnsi"/>
          <w:lang w:val="en-US"/>
        </w:rPr>
        <w:t>Assessing ExxonMobil’s global warming projections. Science, 379(6628), eabk0063.</w:t>
      </w:r>
      <w:bookmarkEnd w:id="12"/>
    </w:p>
    <w:p w14:paraId="0CA009D5" w14:textId="4FD4832F" w:rsidR="0095780C" w:rsidRDefault="0095780C" w:rsidP="00D86BA9">
      <w:pPr>
        <w:pStyle w:val="ListParagraph"/>
        <w:numPr>
          <w:ilvl w:val="0"/>
          <w:numId w:val="1"/>
        </w:numPr>
        <w:rPr>
          <w:rFonts w:asciiTheme="majorHAnsi" w:hAnsiTheme="majorHAnsi" w:cstheme="majorHAnsi"/>
          <w:lang w:val="en-US"/>
        </w:rPr>
      </w:pPr>
      <w:bookmarkStart w:id="13" w:name="_Ref143587636"/>
      <w:r w:rsidRPr="00D86BA9">
        <w:rPr>
          <w:rFonts w:asciiTheme="majorHAnsi" w:hAnsiTheme="majorHAnsi" w:cstheme="majorHAnsi"/>
          <w:lang w:val="en-US"/>
        </w:rPr>
        <w:t xml:space="preserve">Aaron M. </w:t>
      </w:r>
      <w:proofErr w:type="spellStart"/>
      <w:r w:rsidRPr="00D86BA9">
        <w:rPr>
          <w:rFonts w:asciiTheme="majorHAnsi" w:hAnsiTheme="majorHAnsi" w:cstheme="majorHAnsi"/>
          <w:lang w:val="en-US"/>
        </w:rPr>
        <w:t>McCright</w:t>
      </w:r>
      <w:proofErr w:type="spellEnd"/>
      <w:r w:rsidRPr="00D86BA9">
        <w:rPr>
          <w:rFonts w:asciiTheme="majorHAnsi" w:hAnsiTheme="majorHAnsi" w:cstheme="majorHAnsi"/>
          <w:lang w:val="en-US"/>
        </w:rPr>
        <w:t xml:space="preserve"> &amp; Riley E. Dunlap (2011) The Politicization of Climate Change and Polarization in the American Public's Views of Global Warming, 2001–2010, The Sociological Quarterly, 52:2, 155-194, DOI: 10.1111/j.1533-8525.2011.01198.x</w:t>
      </w:r>
      <w:bookmarkEnd w:id="13"/>
    </w:p>
    <w:p w14:paraId="055EEA8C" w14:textId="77777777" w:rsidR="002844D1" w:rsidRPr="00D86BA9" w:rsidRDefault="002844D1" w:rsidP="002844D1">
      <w:pPr>
        <w:numPr>
          <w:ilvl w:val="0"/>
          <w:numId w:val="1"/>
        </w:numPr>
        <w:jc w:val="both"/>
        <w:rPr>
          <w:rFonts w:asciiTheme="majorHAnsi" w:hAnsiTheme="majorHAnsi" w:cstheme="majorHAnsi"/>
        </w:rPr>
      </w:pPr>
      <w:bookmarkStart w:id="14" w:name="_Ref143703182"/>
      <w:r w:rsidRPr="00D86BA9">
        <w:rPr>
          <w:rFonts w:asciiTheme="majorHAnsi" w:hAnsiTheme="majorHAnsi" w:cstheme="majorHAnsi"/>
        </w:rPr>
        <w:t xml:space="preserve">Megan A. Brown, J.N. et al. (2023) </w:t>
      </w:r>
      <w:proofErr w:type="gramStart"/>
      <w:r w:rsidRPr="00D86BA9">
        <w:rPr>
          <w:rFonts w:asciiTheme="majorHAnsi" w:hAnsiTheme="majorHAnsi" w:cstheme="majorHAnsi"/>
        </w:rPr>
        <w:t>The</w:t>
      </w:r>
      <w:proofErr w:type="gramEnd"/>
      <w:r w:rsidRPr="00D86BA9">
        <w:rPr>
          <w:rFonts w:asciiTheme="majorHAnsi" w:hAnsiTheme="majorHAnsi" w:cstheme="majorHAnsi"/>
        </w:rPr>
        <w:t xml:space="preserve"> geopolitics of AI and the rise of Digital Sovereignty, Brookings. Available at: https://www.brookings.edu/articles/the-geopolitics-of-ai-and-the-rise-of-digital-sovereignty/ (Accessed: 07 August 2023).</w:t>
      </w:r>
      <w:bookmarkEnd w:id="14"/>
      <w:r w:rsidRPr="00D86BA9">
        <w:rPr>
          <w:rFonts w:asciiTheme="majorHAnsi" w:hAnsiTheme="majorHAnsi" w:cstheme="majorHAnsi"/>
        </w:rPr>
        <w:t xml:space="preserve"> </w:t>
      </w:r>
    </w:p>
    <w:p w14:paraId="194EF6CE" w14:textId="75CD4B13" w:rsidR="002844D1" w:rsidRDefault="002844D1" w:rsidP="002844D1">
      <w:pPr>
        <w:numPr>
          <w:ilvl w:val="0"/>
          <w:numId w:val="1"/>
        </w:numPr>
        <w:jc w:val="both"/>
        <w:rPr>
          <w:rFonts w:asciiTheme="majorHAnsi" w:hAnsiTheme="majorHAnsi" w:cstheme="majorHAnsi"/>
        </w:rPr>
      </w:pPr>
      <w:bookmarkStart w:id="15" w:name="_Ref143703197"/>
      <w:r w:rsidRPr="00D86BA9">
        <w:rPr>
          <w:rFonts w:asciiTheme="majorHAnsi" w:hAnsiTheme="majorHAnsi" w:cstheme="majorHAnsi"/>
        </w:rPr>
        <w:t xml:space="preserve">Schwalbe, N. and Wahl, B. (2020) ‘Artificial Intelligence and the future of Global Health’, The Lancet, 395(10236), pp. 1579–1586. </w:t>
      </w:r>
      <w:proofErr w:type="gramStart"/>
      <w:r w:rsidRPr="00D86BA9">
        <w:rPr>
          <w:rFonts w:asciiTheme="majorHAnsi" w:hAnsiTheme="majorHAnsi" w:cstheme="majorHAnsi"/>
        </w:rPr>
        <w:t>doi:</w:t>
      </w:r>
      <w:proofErr w:type="gramEnd"/>
      <w:r w:rsidRPr="00D86BA9">
        <w:rPr>
          <w:rFonts w:asciiTheme="majorHAnsi" w:hAnsiTheme="majorHAnsi" w:cstheme="majorHAnsi"/>
        </w:rPr>
        <w:t>10.1016/s0140-6736(20)30226-9.</w:t>
      </w:r>
      <w:bookmarkEnd w:id="15"/>
    </w:p>
    <w:p w14:paraId="7B8286F4" w14:textId="77777777" w:rsidR="00764B24" w:rsidRPr="00D86BA9" w:rsidRDefault="00764B24" w:rsidP="00764B24">
      <w:pPr>
        <w:pStyle w:val="ListParagraph"/>
        <w:numPr>
          <w:ilvl w:val="0"/>
          <w:numId w:val="1"/>
        </w:numPr>
        <w:rPr>
          <w:rFonts w:asciiTheme="majorHAnsi" w:hAnsiTheme="majorHAnsi"/>
        </w:rPr>
      </w:pPr>
      <w:bookmarkStart w:id="16" w:name="_Ref143785554"/>
      <w:r w:rsidRPr="00D86BA9">
        <w:rPr>
          <w:rFonts w:asciiTheme="majorHAnsi" w:hAnsiTheme="majorHAnsi"/>
        </w:rPr>
        <w:t>Schilling, J., et al. (2016). Syria: Climate Change, Drought and Social Unrest. Weather, Climate, and Society, 8(4), 397-417.</w:t>
      </w:r>
    </w:p>
    <w:p w14:paraId="1B93488A" w14:textId="414EB3D9" w:rsidR="00EC689A" w:rsidRPr="00EC689A" w:rsidRDefault="00EC689A" w:rsidP="00EC689A">
      <w:pPr>
        <w:numPr>
          <w:ilvl w:val="0"/>
          <w:numId w:val="1"/>
        </w:numPr>
        <w:jc w:val="both"/>
        <w:rPr>
          <w:rFonts w:asciiTheme="majorHAnsi" w:hAnsiTheme="majorHAnsi" w:cstheme="majorHAnsi"/>
          <w:lang w:val="en-US"/>
        </w:rPr>
      </w:pPr>
      <w:r w:rsidRPr="00D86BA9">
        <w:rPr>
          <w:rFonts w:asciiTheme="majorHAnsi" w:hAnsiTheme="majorHAnsi" w:cstheme="majorHAnsi"/>
          <w:lang w:val="en-US"/>
        </w:rPr>
        <w:t xml:space="preserve">Financial Times. “Russia’s energy conflict with Europe is turning attritional.” Financial Times, 9 Mar. 2023, </w:t>
      </w:r>
      <w:hyperlink r:id="rId63" w:history="1">
        <w:r w:rsidRPr="00D86BA9">
          <w:rPr>
            <w:rStyle w:val="Hyperlink"/>
            <w:rFonts w:asciiTheme="majorHAnsi" w:hAnsiTheme="majorHAnsi" w:cstheme="majorHAnsi"/>
            <w:lang w:val="en-US"/>
          </w:rPr>
          <w:t>https://www.ft.com/content/cde8696f-3c48-4f40-8599-79626b903591</w:t>
        </w:r>
      </w:hyperlink>
      <w:bookmarkEnd w:id="16"/>
    </w:p>
    <w:p w14:paraId="075CF7AD" w14:textId="77777777" w:rsidR="008D5DA1" w:rsidRPr="00D86BA9" w:rsidRDefault="008D5DA1" w:rsidP="008D5DA1">
      <w:pPr>
        <w:numPr>
          <w:ilvl w:val="0"/>
          <w:numId w:val="1"/>
        </w:numPr>
        <w:jc w:val="both"/>
        <w:rPr>
          <w:rFonts w:asciiTheme="majorHAnsi" w:hAnsiTheme="majorHAnsi" w:cstheme="majorHAnsi"/>
          <w:lang w:val="en-US"/>
        </w:rPr>
      </w:pPr>
      <w:bookmarkStart w:id="17" w:name="_Ref143786098"/>
      <w:r w:rsidRPr="00D86BA9">
        <w:rPr>
          <w:rFonts w:asciiTheme="majorHAnsi" w:hAnsiTheme="majorHAnsi" w:cstheme="majorHAnsi"/>
          <w:lang w:val="en-US"/>
        </w:rPr>
        <w:t>Larson, N. I., Story, M. T., &amp; Nelson, M. C. (2009). Neighborhood environments: disparities in access to healthy foods in the US. American Journal of Preventive Medicine, 36(1), 74-81. https://doi.org/10.1016/j.amepre.2008.09.025</w:t>
      </w:r>
      <w:bookmarkEnd w:id="17"/>
    </w:p>
    <w:p w14:paraId="61241CA2" w14:textId="77777777" w:rsidR="0090359F" w:rsidRPr="00D86BA9" w:rsidRDefault="0090359F" w:rsidP="0090359F">
      <w:pPr>
        <w:numPr>
          <w:ilvl w:val="0"/>
          <w:numId w:val="1"/>
        </w:numPr>
        <w:jc w:val="both"/>
        <w:rPr>
          <w:rFonts w:asciiTheme="majorHAnsi" w:hAnsiTheme="majorHAnsi" w:cstheme="majorHAnsi"/>
          <w:lang w:val="en-US"/>
        </w:rPr>
      </w:pPr>
      <w:bookmarkStart w:id="18" w:name="_Ref143786202"/>
      <w:r w:rsidRPr="00D86BA9">
        <w:rPr>
          <w:rFonts w:asciiTheme="majorHAnsi" w:hAnsiTheme="majorHAnsi" w:cstheme="majorHAnsi"/>
          <w:lang w:val="sv-SE"/>
        </w:rPr>
        <w:t xml:space="preserve">Sallis, J. F., Spoon, C., Cavill, N., Engelberg, J. K., Gebel, K., Parker, M., ... &amp; Floyd, M. F. (2016). </w:t>
      </w:r>
      <w:r w:rsidRPr="00D86BA9">
        <w:rPr>
          <w:rFonts w:asciiTheme="majorHAnsi" w:hAnsiTheme="majorHAnsi" w:cstheme="majorHAnsi"/>
          <w:lang w:val="en-US"/>
        </w:rPr>
        <w:t xml:space="preserve">Co-benefits of designing communities for active living: An exploration of literature. International Journal of Behavioral Nutrition and Physical Activity, 13(1), 1-15. </w:t>
      </w:r>
      <w:hyperlink r:id="rId64" w:history="1">
        <w:r w:rsidRPr="00D86BA9">
          <w:rPr>
            <w:rStyle w:val="Hyperlink"/>
            <w:rFonts w:asciiTheme="majorHAnsi" w:hAnsiTheme="majorHAnsi" w:cstheme="majorHAnsi"/>
            <w:lang w:val="en-US"/>
          </w:rPr>
          <w:t>https://doi.org/10.1186/s12966-016-0422-4</w:t>
        </w:r>
      </w:hyperlink>
      <w:bookmarkEnd w:id="18"/>
    </w:p>
    <w:p w14:paraId="416B64AB" w14:textId="77777777" w:rsidR="0090359F" w:rsidRPr="00D86BA9" w:rsidRDefault="0090359F" w:rsidP="0090359F">
      <w:pPr>
        <w:numPr>
          <w:ilvl w:val="0"/>
          <w:numId w:val="1"/>
        </w:numPr>
        <w:jc w:val="both"/>
        <w:rPr>
          <w:rFonts w:asciiTheme="majorHAnsi" w:hAnsiTheme="majorHAnsi" w:cstheme="majorHAnsi"/>
          <w:lang w:val="en-US"/>
        </w:rPr>
      </w:pPr>
      <w:bookmarkStart w:id="19" w:name="_Ref143786216"/>
      <w:proofErr w:type="spellStart"/>
      <w:r w:rsidRPr="00D86BA9">
        <w:rPr>
          <w:rFonts w:asciiTheme="majorHAnsi" w:hAnsiTheme="majorHAnsi" w:cstheme="majorHAnsi"/>
          <w:lang w:val="en-US"/>
        </w:rPr>
        <w:t>Swinburn</w:t>
      </w:r>
      <w:proofErr w:type="spellEnd"/>
      <w:r w:rsidRPr="00D86BA9">
        <w:rPr>
          <w:rFonts w:asciiTheme="majorHAnsi" w:hAnsiTheme="majorHAnsi" w:cstheme="majorHAnsi"/>
          <w:lang w:val="en-US"/>
        </w:rPr>
        <w:t xml:space="preserve">, B.A. et al. (2019) ‘The Global </w:t>
      </w:r>
      <w:proofErr w:type="spellStart"/>
      <w:r w:rsidRPr="00D86BA9">
        <w:rPr>
          <w:rFonts w:asciiTheme="majorHAnsi" w:hAnsiTheme="majorHAnsi" w:cstheme="majorHAnsi"/>
          <w:lang w:val="en-US"/>
        </w:rPr>
        <w:t>Syndemic</w:t>
      </w:r>
      <w:proofErr w:type="spellEnd"/>
      <w:r w:rsidRPr="00D86BA9">
        <w:rPr>
          <w:rFonts w:asciiTheme="majorHAnsi" w:hAnsiTheme="majorHAnsi" w:cstheme="majorHAnsi"/>
          <w:lang w:val="en-US"/>
        </w:rPr>
        <w:t xml:space="preserve"> of obesity, </w:t>
      </w:r>
      <w:proofErr w:type="spellStart"/>
      <w:r w:rsidRPr="00D86BA9">
        <w:rPr>
          <w:rFonts w:asciiTheme="majorHAnsi" w:hAnsiTheme="majorHAnsi" w:cstheme="majorHAnsi"/>
          <w:lang w:val="en-US"/>
        </w:rPr>
        <w:t>undernutrition</w:t>
      </w:r>
      <w:proofErr w:type="spellEnd"/>
      <w:r w:rsidRPr="00D86BA9">
        <w:rPr>
          <w:rFonts w:asciiTheme="majorHAnsi" w:hAnsiTheme="majorHAnsi" w:cstheme="majorHAnsi"/>
          <w:lang w:val="en-US"/>
        </w:rPr>
        <w:t xml:space="preserve">, and climate change: The Lancet Commission Report’, The Lancet, 393(10173), pp. 791–846. </w:t>
      </w:r>
      <w:proofErr w:type="gramStart"/>
      <w:r w:rsidRPr="00D86BA9">
        <w:rPr>
          <w:rFonts w:asciiTheme="majorHAnsi" w:hAnsiTheme="majorHAnsi" w:cstheme="majorHAnsi"/>
          <w:lang w:val="en-US"/>
        </w:rPr>
        <w:t>doi:</w:t>
      </w:r>
      <w:proofErr w:type="gramEnd"/>
      <w:r w:rsidRPr="00D86BA9">
        <w:rPr>
          <w:rFonts w:asciiTheme="majorHAnsi" w:hAnsiTheme="majorHAnsi" w:cstheme="majorHAnsi"/>
          <w:lang w:val="en-US"/>
        </w:rPr>
        <w:t>10.1016/s0140-6736(18)32822-8.</w:t>
      </w:r>
      <w:bookmarkEnd w:id="19"/>
      <w:r w:rsidRPr="00D86BA9">
        <w:rPr>
          <w:rFonts w:asciiTheme="majorHAnsi" w:hAnsiTheme="majorHAnsi" w:cstheme="majorHAnsi"/>
          <w:lang w:val="en-US"/>
        </w:rPr>
        <w:t xml:space="preserve"> </w:t>
      </w:r>
    </w:p>
    <w:p w14:paraId="765288A6" w14:textId="77777777" w:rsidR="00BB736F" w:rsidRPr="00D86BA9" w:rsidRDefault="00BB736F" w:rsidP="00BB736F">
      <w:pPr>
        <w:numPr>
          <w:ilvl w:val="0"/>
          <w:numId w:val="1"/>
        </w:numPr>
        <w:jc w:val="both"/>
        <w:rPr>
          <w:rFonts w:asciiTheme="majorHAnsi" w:hAnsiTheme="majorHAnsi" w:cstheme="majorHAnsi"/>
        </w:rPr>
      </w:pPr>
      <w:bookmarkStart w:id="20" w:name="_Ref143786308"/>
      <w:proofErr w:type="spellStart"/>
      <w:r w:rsidRPr="00D86BA9">
        <w:rPr>
          <w:rFonts w:asciiTheme="majorHAnsi" w:hAnsiTheme="majorHAnsi" w:cstheme="majorHAnsi"/>
        </w:rPr>
        <w:t>Tasmim</w:t>
      </w:r>
      <w:proofErr w:type="spellEnd"/>
      <w:r w:rsidRPr="00D86BA9">
        <w:rPr>
          <w:rFonts w:asciiTheme="majorHAnsi" w:hAnsiTheme="majorHAnsi" w:cstheme="majorHAnsi"/>
        </w:rPr>
        <w:t>, S. (2019) ‘Free Trade Agreements and the Resulting Health Outcomes: Trade Flow, Knowledge Spillover and Government Regulations among Developing Countries’.</w:t>
      </w:r>
      <w:r w:rsidRPr="00D86BA9">
        <w:t xml:space="preserve"> </w:t>
      </w:r>
      <w:hyperlink r:id="rId65" w:history="1">
        <w:r w:rsidRPr="00D86BA9">
          <w:rPr>
            <w:rStyle w:val="Hyperlink"/>
            <w:rFonts w:asciiTheme="majorHAnsi" w:hAnsiTheme="majorHAnsi" w:cstheme="majorHAnsi"/>
          </w:rPr>
          <w:t>https://digitalcommons.memphis.edu/cgi/viewcontent.cgi?article=3135&amp;context=etd</w:t>
        </w:r>
      </w:hyperlink>
      <w:r w:rsidRPr="00D86BA9">
        <w:rPr>
          <w:rFonts w:asciiTheme="majorHAnsi" w:hAnsiTheme="majorHAnsi" w:cstheme="majorHAnsi"/>
        </w:rPr>
        <w:t xml:space="preserve"> (Accessed: 27 July 2023).</w:t>
      </w:r>
      <w:bookmarkEnd w:id="20"/>
    </w:p>
    <w:p w14:paraId="3BD41FA7" w14:textId="32FAB405" w:rsidR="00BB736F" w:rsidRPr="00BB736F" w:rsidRDefault="00BB736F" w:rsidP="00BB736F">
      <w:pPr>
        <w:pStyle w:val="ListParagraph"/>
        <w:numPr>
          <w:ilvl w:val="0"/>
          <w:numId w:val="1"/>
        </w:numPr>
        <w:rPr>
          <w:rFonts w:asciiTheme="majorHAnsi" w:hAnsiTheme="majorHAnsi" w:cs="Segoe UI"/>
          <w:sz w:val="21"/>
          <w:szCs w:val="21"/>
        </w:rPr>
      </w:pPr>
      <w:bookmarkStart w:id="21" w:name="_Ref143786353"/>
      <w:r w:rsidRPr="00D86BA9">
        <w:rPr>
          <w:rFonts w:asciiTheme="majorHAnsi" w:hAnsiTheme="majorHAnsi" w:cs="Segoe UI"/>
        </w:rPr>
        <w:lastRenderedPageBreak/>
        <w:t xml:space="preserve">N/A (2023) </w:t>
      </w:r>
      <w:proofErr w:type="spellStart"/>
      <w:r w:rsidRPr="00D86BA9">
        <w:rPr>
          <w:rFonts w:asciiTheme="majorHAnsi" w:hAnsiTheme="majorHAnsi" w:cs="Segoe UI"/>
        </w:rPr>
        <w:t>Javascript</w:t>
      </w:r>
      <w:proofErr w:type="spellEnd"/>
      <w:r w:rsidRPr="00D86BA9">
        <w:rPr>
          <w:rFonts w:asciiTheme="majorHAnsi" w:hAnsiTheme="majorHAnsi" w:cs="Segoe UI"/>
        </w:rPr>
        <w:t xml:space="preserve"> required</w:t>
      </w:r>
      <w:proofErr w:type="gramStart"/>
      <w:r w:rsidRPr="00D86BA9">
        <w:rPr>
          <w:rFonts w:asciiTheme="majorHAnsi" w:hAnsiTheme="majorHAnsi" w:cs="Segoe UI"/>
        </w:rPr>
        <w:t>!,</w:t>
      </w:r>
      <w:proofErr w:type="gramEnd"/>
      <w:r w:rsidRPr="00D86BA9">
        <w:rPr>
          <w:rFonts w:asciiTheme="majorHAnsi" w:hAnsiTheme="majorHAnsi" w:cs="Segoe UI"/>
        </w:rPr>
        <w:t xml:space="preserve"> Nuclear Power Today | Nuclear Energy - World Nuclear Association. Available at: https://www.world-nuclear.org/information-library/current-and-future-generation/nuclear-power-in-the-world-today.aspx (Accessed: 05 July 2023)</w:t>
      </w:r>
      <w:proofErr w:type="gramStart"/>
      <w:r w:rsidRPr="00D86BA9">
        <w:rPr>
          <w:rFonts w:asciiTheme="majorHAnsi" w:hAnsiTheme="majorHAnsi" w:cs="Segoe UI"/>
        </w:rPr>
        <w:t>..</w:t>
      </w:r>
      <w:bookmarkEnd w:id="21"/>
      <w:proofErr w:type="gramEnd"/>
    </w:p>
    <w:p w14:paraId="1F9AD883" w14:textId="77777777" w:rsidR="00BB736F" w:rsidRPr="00D86BA9" w:rsidRDefault="00BB736F" w:rsidP="00BB736F">
      <w:pPr>
        <w:numPr>
          <w:ilvl w:val="0"/>
          <w:numId w:val="1"/>
        </w:numPr>
        <w:jc w:val="both"/>
        <w:rPr>
          <w:rFonts w:asciiTheme="majorHAnsi" w:hAnsiTheme="majorHAnsi" w:cstheme="majorHAnsi"/>
        </w:rPr>
      </w:pPr>
      <w:bookmarkStart w:id="22" w:name="_Ref143786366"/>
      <w:proofErr w:type="spellStart"/>
      <w:r w:rsidRPr="00D86BA9">
        <w:rPr>
          <w:rFonts w:asciiTheme="majorHAnsi" w:hAnsiTheme="majorHAnsi" w:cstheme="majorHAnsi"/>
        </w:rPr>
        <w:t>Igini</w:t>
      </w:r>
      <w:proofErr w:type="spellEnd"/>
      <w:r w:rsidRPr="00D86BA9">
        <w:rPr>
          <w:rFonts w:asciiTheme="majorHAnsi" w:hAnsiTheme="majorHAnsi" w:cstheme="majorHAnsi"/>
        </w:rPr>
        <w:t xml:space="preserve">, M. (2023). The advantages and disadvantages of nuclear energy. Earth.Org. </w:t>
      </w:r>
      <w:hyperlink r:id="rId66" w:history="1">
        <w:r w:rsidRPr="00D86BA9">
          <w:rPr>
            <w:rStyle w:val="Hyperlink"/>
            <w:rFonts w:asciiTheme="majorHAnsi" w:hAnsiTheme="majorHAnsi" w:cstheme="majorHAnsi"/>
          </w:rPr>
          <w:t>https://earth.org/the-advantages-and-disadvantages-of-nuclear-energy/</w:t>
        </w:r>
      </w:hyperlink>
      <w:r w:rsidRPr="00D86BA9">
        <w:rPr>
          <w:rFonts w:asciiTheme="majorHAnsi" w:hAnsiTheme="majorHAnsi" w:cstheme="majorHAnsi"/>
        </w:rPr>
        <w:t xml:space="preserve"> (Accessed: 19 July 2023).</w:t>
      </w:r>
      <w:bookmarkEnd w:id="22"/>
    </w:p>
    <w:p w14:paraId="3EABA8A1" w14:textId="77777777" w:rsidR="003B08BA" w:rsidRPr="00D86BA9" w:rsidRDefault="003B08BA" w:rsidP="003B08BA">
      <w:pPr>
        <w:pStyle w:val="ListParagraph"/>
        <w:numPr>
          <w:ilvl w:val="0"/>
          <w:numId w:val="1"/>
        </w:numPr>
        <w:rPr>
          <w:rFonts w:asciiTheme="majorHAnsi" w:hAnsiTheme="majorHAnsi"/>
        </w:rPr>
      </w:pPr>
      <w:bookmarkStart w:id="23" w:name="_Ref143786442"/>
      <w:r w:rsidRPr="00D86BA9">
        <w:rPr>
          <w:rFonts w:asciiTheme="majorHAnsi" w:hAnsiTheme="majorHAnsi"/>
        </w:rPr>
        <w:t>International Solar Alliance. (2021). About ISA.)</w:t>
      </w:r>
      <w:bookmarkEnd w:id="23"/>
    </w:p>
    <w:p w14:paraId="04B59B65" w14:textId="7B9B0D9C" w:rsidR="008D5DA1" w:rsidRPr="002E66F3" w:rsidRDefault="008258D7" w:rsidP="002E66F3">
      <w:pPr>
        <w:numPr>
          <w:ilvl w:val="0"/>
          <w:numId w:val="1"/>
        </w:numPr>
        <w:jc w:val="both"/>
        <w:rPr>
          <w:rFonts w:asciiTheme="majorHAnsi" w:hAnsiTheme="majorHAnsi" w:cstheme="majorHAnsi"/>
        </w:rPr>
      </w:pPr>
      <w:bookmarkStart w:id="24" w:name="_Ref143786514"/>
      <w:proofErr w:type="gramStart"/>
      <w:r w:rsidRPr="00D86BA9">
        <w:rPr>
          <w:rFonts w:asciiTheme="majorHAnsi" w:hAnsiTheme="majorHAnsi" w:cstheme="majorHAnsi"/>
        </w:rPr>
        <w:t>Lakhani ,</w:t>
      </w:r>
      <w:proofErr w:type="gramEnd"/>
      <w:r w:rsidRPr="00D86BA9">
        <w:rPr>
          <w:rFonts w:asciiTheme="majorHAnsi" w:hAnsiTheme="majorHAnsi" w:cstheme="majorHAnsi"/>
        </w:rPr>
        <w:t xml:space="preserve"> N. (2022) US transition to electric vehicles would save over 100,000 lives by 2050 – study, The Guardian. Available at: https://www.theguardian.com/us-news/2022/mar/30/us-electric-vehicles-save-lives-public-health-costs-study (Accessed: 05 July 2023).</w:t>
      </w:r>
      <w:bookmarkEnd w:id="24"/>
    </w:p>
    <w:p w14:paraId="4AB97202" w14:textId="77777777" w:rsidR="00AB5544" w:rsidRPr="00D86BA9" w:rsidRDefault="00AB5544" w:rsidP="00AB5544">
      <w:pPr>
        <w:numPr>
          <w:ilvl w:val="0"/>
          <w:numId w:val="1"/>
        </w:numPr>
        <w:jc w:val="both"/>
        <w:rPr>
          <w:rFonts w:asciiTheme="majorHAnsi" w:hAnsiTheme="majorHAnsi" w:cstheme="majorHAnsi"/>
          <w:lang w:val="en-US"/>
        </w:rPr>
      </w:pPr>
      <w:bookmarkStart w:id="25" w:name="_Ref143786659"/>
      <w:r w:rsidRPr="00D86BA9">
        <w:rPr>
          <w:rFonts w:asciiTheme="majorHAnsi" w:hAnsiTheme="majorHAnsi" w:cstheme="majorHAnsi"/>
          <w:lang w:val="en-US"/>
        </w:rPr>
        <w:t>Blunt, G. D. (2022). The Gates Foundation, global health and domination: a republican critique of transnational philanthropy. </w:t>
      </w:r>
      <w:r w:rsidRPr="00D86BA9">
        <w:rPr>
          <w:rFonts w:asciiTheme="majorHAnsi" w:hAnsiTheme="majorHAnsi" w:cstheme="majorHAnsi"/>
          <w:i/>
          <w:iCs/>
          <w:lang w:val="en-US"/>
        </w:rPr>
        <w:t>International Affairs</w:t>
      </w:r>
      <w:r w:rsidRPr="00D86BA9">
        <w:rPr>
          <w:rFonts w:asciiTheme="majorHAnsi" w:hAnsiTheme="majorHAnsi" w:cstheme="majorHAnsi"/>
          <w:lang w:val="en-US"/>
        </w:rPr>
        <w:t>, </w:t>
      </w:r>
      <w:r w:rsidRPr="00D86BA9">
        <w:rPr>
          <w:rFonts w:asciiTheme="majorHAnsi" w:hAnsiTheme="majorHAnsi" w:cstheme="majorHAnsi"/>
          <w:i/>
          <w:iCs/>
          <w:lang w:val="en-US"/>
        </w:rPr>
        <w:t>98</w:t>
      </w:r>
      <w:r w:rsidRPr="00D86BA9">
        <w:rPr>
          <w:rFonts w:asciiTheme="majorHAnsi" w:hAnsiTheme="majorHAnsi" w:cstheme="majorHAnsi"/>
          <w:lang w:val="en-US"/>
        </w:rPr>
        <w:t>(6), 2039-2056.</w:t>
      </w:r>
      <w:bookmarkEnd w:id="25"/>
    </w:p>
    <w:p w14:paraId="7A8268D3" w14:textId="77777777" w:rsidR="002E66F3" w:rsidRPr="00D86BA9" w:rsidRDefault="002E66F3" w:rsidP="002E66F3">
      <w:pPr>
        <w:numPr>
          <w:ilvl w:val="0"/>
          <w:numId w:val="1"/>
        </w:numPr>
        <w:jc w:val="both"/>
        <w:rPr>
          <w:rFonts w:asciiTheme="majorHAnsi" w:hAnsiTheme="majorHAnsi" w:cstheme="majorHAnsi"/>
          <w:lang w:val="en-US"/>
        </w:rPr>
      </w:pPr>
      <w:bookmarkStart w:id="26" w:name="_Ref143786773"/>
      <w:r w:rsidRPr="00D86BA9">
        <w:rPr>
          <w:rFonts w:asciiTheme="majorHAnsi" w:hAnsiTheme="majorHAnsi" w:cstheme="majorHAnsi"/>
          <w:lang w:val="en-US"/>
        </w:rPr>
        <w:t xml:space="preserve">Baker, P., Smith, J. P., </w:t>
      </w:r>
      <w:proofErr w:type="spellStart"/>
      <w:r w:rsidRPr="00D86BA9">
        <w:rPr>
          <w:rFonts w:asciiTheme="majorHAnsi" w:hAnsiTheme="majorHAnsi" w:cstheme="majorHAnsi"/>
          <w:lang w:val="en-US"/>
        </w:rPr>
        <w:t>Garde</w:t>
      </w:r>
      <w:proofErr w:type="spellEnd"/>
      <w:r w:rsidRPr="00D86BA9">
        <w:rPr>
          <w:rFonts w:asciiTheme="majorHAnsi" w:hAnsiTheme="majorHAnsi" w:cstheme="majorHAnsi"/>
          <w:lang w:val="en-US"/>
        </w:rPr>
        <w:t xml:space="preserve">, A., </w:t>
      </w:r>
      <w:proofErr w:type="spellStart"/>
      <w:r w:rsidRPr="00D86BA9">
        <w:rPr>
          <w:rFonts w:asciiTheme="majorHAnsi" w:hAnsiTheme="majorHAnsi" w:cstheme="majorHAnsi"/>
          <w:lang w:val="en-US"/>
        </w:rPr>
        <w:t>Grummer</w:t>
      </w:r>
      <w:proofErr w:type="spellEnd"/>
      <w:r w:rsidRPr="00D86BA9">
        <w:rPr>
          <w:rFonts w:asciiTheme="majorHAnsi" w:hAnsiTheme="majorHAnsi" w:cstheme="majorHAnsi"/>
          <w:lang w:val="en-US"/>
        </w:rPr>
        <w:t>-Strawn, L. M., Wood, B., Sen, G</w:t>
      </w:r>
      <w:proofErr w:type="gramStart"/>
      <w:r w:rsidRPr="00D86BA9">
        <w:rPr>
          <w:rFonts w:asciiTheme="majorHAnsi" w:hAnsiTheme="majorHAnsi" w:cstheme="majorHAnsi"/>
          <w:lang w:val="en-US"/>
        </w:rPr>
        <w:t>., ...</w:t>
      </w:r>
      <w:proofErr w:type="gramEnd"/>
      <w:r w:rsidRPr="00D86BA9">
        <w:rPr>
          <w:rFonts w:asciiTheme="majorHAnsi" w:hAnsiTheme="majorHAnsi" w:cstheme="majorHAnsi"/>
          <w:lang w:val="en-US"/>
        </w:rPr>
        <w:t xml:space="preserve"> &amp; McCoy, D. (2023). The political economy of infant and young child feeding: confronting corporate power, overcoming structural barriers, and accelerating progress. </w:t>
      </w:r>
      <w:r w:rsidRPr="00D86BA9">
        <w:rPr>
          <w:rFonts w:asciiTheme="majorHAnsi" w:hAnsiTheme="majorHAnsi" w:cstheme="majorHAnsi"/>
          <w:i/>
          <w:iCs/>
          <w:lang w:val="en-US"/>
        </w:rPr>
        <w:t>The Lancet</w:t>
      </w:r>
      <w:r w:rsidRPr="00D86BA9">
        <w:rPr>
          <w:rFonts w:asciiTheme="majorHAnsi" w:hAnsiTheme="majorHAnsi" w:cstheme="majorHAnsi"/>
          <w:lang w:val="en-US"/>
        </w:rPr>
        <w:t>.</w:t>
      </w:r>
      <w:bookmarkEnd w:id="26"/>
    </w:p>
    <w:p w14:paraId="4C69D72A" w14:textId="77777777" w:rsidR="0000272C" w:rsidRPr="00D86BA9" w:rsidRDefault="0000272C" w:rsidP="0000272C">
      <w:pPr>
        <w:numPr>
          <w:ilvl w:val="0"/>
          <w:numId w:val="1"/>
        </w:numPr>
        <w:jc w:val="both"/>
        <w:rPr>
          <w:rFonts w:asciiTheme="majorHAnsi" w:hAnsiTheme="majorHAnsi" w:cstheme="majorHAnsi"/>
        </w:rPr>
      </w:pPr>
      <w:bookmarkStart w:id="27" w:name="_Ref143786842"/>
      <w:r w:rsidRPr="00D86BA9">
        <w:rPr>
          <w:rFonts w:asciiTheme="majorHAnsi" w:hAnsiTheme="majorHAnsi" w:cstheme="majorHAnsi"/>
        </w:rPr>
        <w:t>N/A (2023) A global network of mayors taking urgent climate action, C40 Cities. Available at: https://www.c40.org/?gclid=Cj0KCQjwnf-kBhCnARIsAFlg490CEeLsXfwq1AAhMJqBjK0dvhdAVCNTWxS-fE9eIFnYHzKL0qXLVSgaAhdREALw_wcB (Accessed: 05 July 2023).</w:t>
      </w:r>
      <w:bookmarkEnd w:id="27"/>
    </w:p>
    <w:p w14:paraId="5FA24C18" w14:textId="77777777" w:rsidR="00C406C2" w:rsidRPr="00D86BA9" w:rsidRDefault="00C406C2" w:rsidP="00C406C2">
      <w:pPr>
        <w:numPr>
          <w:ilvl w:val="0"/>
          <w:numId w:val="1"/>
        </w:numPr>
        <w:jc w:val="both"/>
        <w:rPr>
          <w:rFonts w:asciiTheme="majorHAnsi" w:hAnsiTheme="majorHAnsi" w:cstheme="majorHAnsi"/>
          <w:lang w:val="en-US"/>
        </w:rPr>
      </w:pPr>
      <w:bookmarkStart w:id="28" w:name="_Ref143787003"/>
      <w:proofErr w:type="spellStart"/>
      <w:r w:rsidRPr="00D86BA9">
        <w:rPr>
          <w:rFonts w:asciiTheme="majorHAnsi" w:hAnsiTheme="majorHAnsi" w:cstheme="majorHAnsi"/>
          <w:lang w:val="en-US"/>
        </w:rPr>
        <w:t>Nanoot</w:t>
      </w:r>
      <w:proofErr w:type="spellEnd"/>
      <w:r w:rsidRPr="00D86BA9">
        <w:rPr>
          <w:rFonts w:asciiTheme="majorHAnsi" w:hAnsiTheme="majorHAnsi" w:cstheme="majorHAnsi"/>
          <w:lang w:val="en-US"/>
        </w:rPr>
        <w:t xml:space="preserve"> </w:t>
      </w:r>
      <w:proofErr w:type="spellStart"/>
      <w:r w:rsidRPr="00D86BA9">
        <w:rPr>
          <w:rFonts w:asciiTheme="majorHAnsi" w:hAnsiTheme="majorHAnsi" w:cstheme="majorHAnsi"/>
          <w:lang w:val="en-US"/>
        </w:rPr>
        <w:t>Mathurapote</w:t>
      </w:r>
      <w:proofErr w:type="spellEnd"/>
      <w:r w:rsidRPr="00D86BA9">
        <w:rPr>
          <w:rFonts w:asciiTheme="majorHAnsi" w:hAnsiTheme="majorHAnsi" w:cstheme="majorHAnsi"/>
          <w:lang w:val="en-US"/>
        </w:rPr>
        <w:t xml:space="preserve"> and </w:t>
      </w:r>
      <w:proofErr w:type="spellStart"/>
      <w:r w:rsidRPr="00D86BA9">
        <w:rPr>
          <w:rFonts w:asciiTheme="majorHAnsi" w:hAnsiTheme="majorHAnsi" w:cstheme="majorHAnsi"/>
          <w:lang w:val="en-US"/>
        </w:rPr>
        <w:t>Weerasak</w:t>
      </w:r>
      <w:proofErr w:type="spellEnd"/>
      <w:r w:rsidRPr="00D86BA9">
        <w:rPr>
          <w:rFonts w:asciiTheme="majorHAnsi" w:hAnsiTheme="majorHAnsi" w:cstheme="majorHAnsi"/>
          <w:lang w:val="en-US"/>
        </w:rPr>
        <w:t xml:space="preserve"> </w:t>
      </w:r>
      <w:proofErr w:type="spellStart"/>
      <w:r w:rsidRPr="00D86BA9">
        <w:rPr>
          <w:rFonts w:asciiTheme="majorHAnsi" w:hAnsiTheme="majorHAnsi" w:cstheme="majorHAnsi"/>
          <w:lang w:val="en-US"/>
        </w:rPr>
        <w:t>Putthasri</w:t>
      </w:r>
      <w:proofErr w:type="spellEnd"/>
      <w:r w:rsidRPr="00D86BA9">
        <w:rPr>
          <w:rFonts w:asciiTheme="majorHAnsi" w:hAnsiTheme="majorHAnsi" w:cstheme="majorHAnsi"/>
          <w:lang w:val="en-US"/>
        </w:rPr>
        <w:t xml:space="preserve">. (2018). Global health disruptors: The rise of civil society. </w:t>
      </w:r>
      <w:hyperlink r:id="rId67" w:history="1">
        <w:r w:rsidRPr="00D86BA9">
          <w:rPr>
            <w:rStyle w:val="Hyperlink"/>
            <w:rFonts w:asciiTheme="majorHAnsi" w:hAnsiTheme="majorHAnsi" w:cstheme="majorHAnsi"/>
            <w:lang w:val="en-US"/>
          </w:rPr>
          <w:t>https://blogs.bmj.com/bmj/2018/11/28/global-health-disruptors-the-rise-of-civil-society/</w:t>
        </w:r>
      </w:hyperlink>
      <w:bookmarkEnd w:id="28"/>
    </w:p>
    <w:p w14:paraId="676CAC43" w14:textId="77777777" w:rsidR="00C406C2" w:rsidRPr="00D86BA9" w:rsidRDefault="00C406C2" w:rsidP="00C406C2">
      <w:pPr>
        <w:numPr>
          <w:ilvl w:val="0"/>
          <w:numId w:val="1"/>
        </w:numPr>
        <w:jc w:val="both"/>
        <w:rPr>
          <w:rFonts w:asciiTheme="majorHAnsi" w:hAnsiTheme="majorHAnsi" w:cstheme="majorHAnsi"/>
        </w:rPr>
      </w:pPr>
      <w:r w:rsidRPr="00D86BA9">
        <w:rPr>
          <w:rFonts w:asciiTheme="majorHAnsi" w:hAnsiTheme="majorHAnsi" w:cstheme="majorHAnsi"/>
          <w:lang w:val="en-US"/>
        </w:rPr>
        <w:t>IPCC Synthesis Report: Climate Change 2023. (</w:t>
      </w:r>
      <w:proofErr w:type="spellStart"/>
      <w:r w:rsidRPr="00D86BA9">
        <w:rPr>
          <w:rFonts w:asciiTheme="majorHAnsi" w:hAnsiTheme="majorHAnsi" w:cstheme="majorHAnsi"/>
          <w:lang w:val="en-US"/>
        </w:rPr>
        <w:t>n.d.</w:t>
      </w:r>
      <w:proofErr w:type="spellEnd"/>
      <w:r w:rsidRPr="00D86BA9">
        <w:rPr>
          <w:rFonts w:asciiTheme="majorHAnsi" w:hAnsiTheme="majorHAnsi" w:cstheme="majorHAnsi"/>
          <w:lang w:val="en-US"/>
        </w:rPr>
        <w:t xml:space="preserve">). IPCC. </w:t>
      </w:r>
      <w:hyperlink r:id="rId68" w:history="1">
        <w:r w:rsidRPr="00D86BA9">
          <w:rPr>
            <w:rStyle w:val="Hyperlink"/>
            <w:rFonts w:asciiTheme="majorHAnsi" w:hAnsiTheme="majorHAnsi" w:cstheme="majorHAnsi"/>
            <w:lang w:val="en-US"/>
          </w:rPr>
          <w:t>https://www.ipcc.ch/report/ar6/syr/</w:t>
        </w:r>
      </w:hyperlink>
    </w:p>
    <w:p w14:paraId="598E7A2A" w14:textId="54200B8E" w:rsidR="001B11D4" w:rsidRPr="00D503FD" w:rsidRDefault="001B11D4" w:rsidP="00D86BA9">
      <w:pPr>
        <w:ind w:left="360"/>
        <w:jc w:val="both"/>
        <w:rPr>
          <w:rFonts w:asciiTheme="majorHAnsi" w:hAnsiTheme="majorHAnsi" w:cstheme="majorHAnsi"/>
        </w:rPr>
      </w:pPr>
    </w:p>
    <w:sectPr w:rsidR="001B11D4" w:rsidRPr="00D5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01000003" w:usb1="00000000" w:usb2="00000000" w:usb3="00000000" w:csb0="00010001" w:csb1="00000000"/>
  </w:font>
  <w:font w:name="Segoe UI">
    <w:panose1 w:val="020B0502040204020203"/>
    <w:charset w:val="00"/>
    <w:family w:val="swiss"/>
    <w:pitch w:val="variable"/>
    <w:sig w:usb0="E00022FF" w:usb1="C000205B" w:usb2="00000009" w:usb3="00000000" w:csb0="000001DF" w:csb1="00000000"/>
  </w:font>
  <w:font w:name="Browallia New">
    <w:panose1 w:val="020B06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65DD0"/>
    <w:multiLevelType w:val="hybridMultilevel"/>
    <w:tmpl w:val="5774780A"/>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0C683220"/>
    <w:multiLevelType w:val="hybridMultilevel"/>
    <w:tmpl w:val="798A03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214B0"/>
    <w:multiLevelType w:val="hybridMultilevel"/>
    <w:tmpl w:val="6A4C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710C0"/>
    <w:multiLevelType w:val="multilevel"/>
    <w:tmpl w:val="8F3A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E39E9"/>
    <w:multiLevelType w:val="hybridMultilevel"/>
    <w:tmpl w:val="A3A44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F4586A"/>
    <w:multiLevelType w:val="multilevel"/>
    <w:tmpl w:val="4FD06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543C5C05"/>
    <w:multiLevelType w:val="hybridMultilevel"/>
    <w:tmpl w:val="E5F46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23E7A"/>
    <w:multiLevelType w:val="hybridMultilevel"/>
    <w:tmpl w:val="1A24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710DF"/>
    <w:multiLevelType w:val="hybridMultilevel"/>
    <w:tmpl w:val="90824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926D6"/>
    <w:multiLevelType w:val="multilevel"/>
    <w:tmpl w:val="41FC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900C70"/>
    <w:multiLevelType w:val="hybridMultilevel"/>
    <w:tmpl w:val="B6FEA2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878AB"/>
    <w:multiLevelType w:val="hybridMultilevel"/>
    <w:tmpl w:val="FF027FA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B43465B"/>
    <w:multiLevelType w:val="hybridMultilevel"/>
    <w:tmpl w:val="A9E0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54205"/>
    <w:multiLevelType w:val="hybridMultilevel"/>
    <w:tmpl w:val="FC5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827225"/>
    <w:multiLevelType w:val="multilevel"/>
    <w:tmpl w:val="8AB49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11"/>
  </w:num>
  <w:num w:numId="4">
    <w:abstractNumId w:val="9"/>
  </w:num>
  <w:num w:numId="5">
    <w:abstractNumId w:val="8"/>
  </w:num>
  <w:num w:numId="6">
    <w:abstractNumId w:val="1"/>
  </w:num>
  <w:num w:numId="7">
    <w:abstractNumId w:val="10"/>
  </w:num>
  <w:num w:numId="8">
    <w:abstractNumId w:val="4"/>
  </w:num>
  <w:num w:numId="9">
    <w:abstractNumId w:val="2"/>
  </w:num>
  <w:num w:numId="10">
    <w:abstractNumId w:val="12"/>
  </w:num>
  <w:num w:numId="11">
    <w:abstractNumId w:val="0"/>
  </w:num>
  <w:num w:numId="12">
    <w:abstractNumId w:val="13"/>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E1"/>
    <w:rsid w:val="0000272C"/>
    <w:rsid w:val="00002B38"/>
    <w:rsid w:val="00005ED2"/>
    <w:rsid w:val="00007A2B"/>
    <w:rsid w:val="000117D6"/>
    <w:rsid w:val="000139BE"/>
    <w:rsid w:val="000240F9"/>
    <w:rsid w:val="00040649"/>
    <w:rsid w:val="00043973"/>
    <w:rsid w:val="0004638E"/>
    <w:rsid w:val="00053AFE"/>
    <w:rsid w:val="00060363"/>
    <w:rsid w:val="00061202"/>
    <w:rsid w:val="00080A8D"/>
    <w:rsid w:val="00080B44"/>
    <w:rsid w:val="000854CF"/>
    <w:rsid w:val="00086EF3"/>
    <w:rsid w:val="00091475"/>
    <w:rsid w:val="000921F9"/>
    <w:rsid w:val="00092B24"/>
    <w:rsid w:val="00094C6F"/>
    <w:rsid w:val="000A0088"/>
    <w:rsid w:val="000A5998"/>
    <w:rsid w:val="000B10CE"/>
    <w:rsid w:val="000B709C"/>
    <w:rsid w:val="000C56DE"/>
    <w:rsid w:val="000D56C5"/>
    <w:rsid w:val="000E0A16"/>
    <w:rsid w:val="000E1D7B"/>
    <w:rsid w:val="000E5761"/>
    <w:rsid w:val="001076B9"/>
    <w:rsid w:val="00114A05"/>
    <w:rsid w:val="00117E8D"/>
    <w:rsid w:val="00124407"/>
    <w:rsid w:val="00125BB1"/>
    <w:rsid w:val="0012795F"/>
    <w:rsid w:val="00127E72"/>
    <w:rsid w:val="00134DF0"/>
    <w:rsid w:val="001353C7"/>
    <w:rsid w:val="00140742"/>
    <w:rsid w:val="00141287"/>
    <w:rsid w:val="00142A2D"/>
    <w:rsid w:val="00156118"/>
    <w:rsid w:val="001605C4"/>
    <w:rsid w:val="00161BB9"/>
    <w:rsid w:val="001652F8"/>
    <w:rsid w:val="00171E92"/>
    <w:rsid w:val="00176BD4"/>
    <w:rsid w:val="00180A0B"/>
    <w:rsid w:val="00193BBD"/>
    <w:rsid w:val="00195485"/>
    <w:rsid w:val="001A496E"/>
    <w:rsid w:val="001A64A2"/>
    <w:rsid w:val="001A7CC7"/>
    <w:rsid w:val="001B07AA"/>
    <w:rsid w:val="001B11D4"/>
    <w:rsid w:val="001B1C1B"/>
    <w:rsid w:val="001C35C7"/>
    <w:rsid w:val="001C5D76"/>
    <w:rsid w:val="001D019D"/>
    <w:rsid w:val="001E2479"/>
    <w:rsid w:val="001E4839"/>
    <w:rsid w:val="001F5CA3"/>
    <w:rsid w:val="00200742"/>
    <w:rsid w:val="0020108F"/>
    <w:rsid w:val="00201B45"/>
    <w:rsid w:val="0020341B"/>
    <w:rsid w:val="002072E8"/>
    <w:rsid w:val="00211F37"/>
    <w:rsid w:val="0021630E"/>
    <w:rsid w:val="00223B21"/>
    <w:rsid w:val="00225A21"/>
    <w:rsid w:val="00231359"/>
    <w:rsid w:val="00233F0E"/>
    <w:rsid w:val="00240466"/>
    <w:rsid w:val="0024188B"/>
    <w:rsid w:val="00242653"/>
    <w:rsid w:val="0024270D"/>
    <w:rsid w:val="00250BBA"/>
    <w:rsid w:val="002514FF"/>
    <w:rsid w:val="00261561"/>
    <w:rsid w:val="002659C3"/>
    <w:rsid w:val="002670AA"/>
    <w:rsid w:val="002709A3"/>
    <w:rsid w:val="002764F1"/>
    <w:rsid w:val="002816BC"/>
    <w:rsid w:val="00282C2A"/>
    <w:rsid w:val="00283760"/>
    <w:rsid w:val="002844D1"/>
    <w:rsid w:val="0029000C"/>
    <w:rsid w:val="002A7AF3"/>
    <w:rsid w:val="002C3560"/>
    <w:rsid w:val="002C6240"/>
    <w:rsid w:val="002C6380"/>
    <w:rsid w:val="002C67B7"/>
    <w:rsid w:val="002C7B8A"/>
    <w:rsid w:val="002D1FCD"/>
    <w:rsid w:val="002E127F"/>
    <w:rsid w:val="002E5701"/>
    <w:rsid w:val="002E6302"/>
    <w:rsid w:val="002E66F3"/>
    <w:rsid w:val="002E69D5"/>
    <w:rsid w:val="002E7020"/>
    <w:rsid w:val="002F5DA7"/>
    <w:rsid w:val="002F7FB8"/>
    <w:rsid w:val="00301229"/>
    <w:rsid w:val="00302883"/>
    <w:rsid w:val="00302BAE"/>
    <w:rsid w:val="00303501"/>
    <w:rsid w:val="00316AF8"/>
    <w:rsid w:val="0032047D"/>
    <w:rsid w:val="003208DB"/>
    <w:rsid w:val="003230B1"/>
    <w:rsid w:val="00323E28"/>
    <w:rsid w:val="00326FD4"/>
    <w:rsid w:val="00335EC1"/>
    <w:rsid w:val="003361C8"/>
    <w:rsid w:val="003415AE"/>
    <w:rsid w:val="00341996"/>
    <w:rsid w:val="00343AA7"/>
    <w:rsid w:val="003448E7"/>
    <w:rsid w:val="00345A22"/>
    <w:rsid w:val="00346CE0"/>
    <w:rsid w:val="00352961"/>
    <w:rsid w:val="00353B01"/>
    <w:rsid w:val="0035533D"/>
    <w:rsid w:val="003608AF"/>
    <w:rsid w:val="0036674A"/>
    <w:rsid w:val="00366DC3"/>
    <w:rsid w:val="003747F4"/>
    <w:rsid w:val="00380E6F"/>
    <w:rsid w:val="00385A00"/>
    <w:rsid w:val="003A0FAC"/>
    <w:rsid w:val="003A27B1"/>
    <w:rsid w:val="003B08BA"/>
    <w:rsid w:val="003B3FDA"/>
    <w:rsid w:val="003B7437"/>
    <w:rsid w:val="003D0CA8"/>
    <w:rsid w:val="003D6FA2"/>
    <w:rsid w:val="003E4724"/>
    <w:rsid w:val="003E5691"/>
    <w:rsid w:val="003E61ED"/>
    <w:rsid w:val="003F33F7"/>
    <w:rsid w:val="003F7528"/>
    <w:rsid w:val="003F77E7"/>
    <w:rsid w:val="00402511"/>
    <w:rsid w:val="00405776"/>
    <w:rsid w:val="004136AF"/>
    <w:rsid w:val="004147B3"/>
    <w:rsid w:val="0041716A"/>
    <w:rsid w:val="0043260E"/>
    <w:rsid w:val="00433E2D"/>
    <w:rsid w:val="00443709"/>
    <w:rsid w:val="004458D9"/>
    <w:rsid w:val="00446265"/>
    <w:rsid w:val="0044629A"/>
    <w:rsid w:val="0045219C"/>
    <w:rsid w:val="00452BD1"/>
    <w:rsid w:val="00453AE0"/>
    <w:rsid w:val="00456C21"/>
    <w:rsid w:val="004602A0"/>
    <w:rsid w:val="00472105"/>
    <w:rsid w:val="00472C83"/>
    <w:rsid w:val="00474641"/>
    <w:rsid w:val="00477CF8"/>
    <w:rsid w:val="00482FEC"/>
    <w:rsid w:val="00487756"/>
    <w:rsid w:val="00491AFC"/>
    <w:rsid w:val="00494599"/>
    <w:rsid w:val="004A24D1"/>
    <w:rsid w:val="004B1141"/>
    <w:rsid w:val="004B2995"/>
    <w:rsid w:val="004C08BC"/>
    <w:rsid w:val="004C3F28"/>
    <w:rsid w:val="004C7E9C"/>
    <w:rsid w:val="004D1FCB"/>
    <w:rsid w:val="004D4171"/>
    <w:rsid w:val="004D4A36"/>
    <w:rsid w:val="004D7734"/>
    <w:rsid w:val="004E4340"/>
    <w:rsid w:val="004E52FF"/>
    <w:rsid w:val="004F547C"/>
    <w:rsid w:val="004F5EEE"/>
    <w:rsid w:val="00500E2A"/>
    <w:rsid w:val="00501F85"/>
    <w:rsid w:val="00502EE1"/>
    <w:rsid w:val="00506590"/>
    <w:rsid w:val="00507115"/>
    <w:rsid w:val="00520AB8"/>
    <w:rsid w:val="005223EF"/>
    <w:rsid w:val="005316F7"/>
    <w:rsid w:val="00532F75"/>
    <w:rsid w:val="00536984"/>
    <w:rsid w:val="00541993"/>
    <w:rsid w:val="00543340"/>
    <w:rsid w:val="0054350D"/>
    <w:rsid w:val="005469D6"/>
    <w:rsid w:val="005474C0"/>
    <w:rsid w:val="00551C80"/>
    <w:rsid w:val="005534BE"/>
    <w:rsid w:val="00555A67"/>
    <w:rsid w:val="0055606B"/>
    <w:rsid w:val="005632BE"/>
    <w:rsid w:val="00565BAA"/>
    <w:rsid w:val="0058544B"/>
    <w:rsid w:val="005864DC"/>
    <w:rsid w:val="00592776"/>
    <w:rsid w:val="00594641"/>
    <w:rsid w:val="005A1126"/>
    <w:rsid w:val="005A772F"/>
    <w:rsid w:val="005B1F3A"/>
    <w:rsid w:val="005B31D6"/>
    <w:rsid w:val="005B662A"/>
    <w:rsid w:val="005C5701"/>
    <w:rsid w:val="005C75D9"/>
    <w:rsid w:val="005D138F"/>
    <w:rsid w:val="005D6C2C"/>
    <w:rsid w:val="005D6DF2"/>
    <w:rsid w:val="005E2566"/>
    <w:rsid w:val="005E2A62"/>
    <w:rsid w:val="005E3271"/>
    <w:rsid w:val="005E390C"/>
    <w:rsid w:val="005F0DCA"/>
    <w:rsid w:val="005F5325"/>
    <w:rsid w:val="006033EF"/>
    <w:rsid w:val="00605A8F"/>
    <w:rsid w:val="00611D78"/>
    <w:rsid w:val="00626D3F"/>
    <w:rsid w:val="00633981"/>
    <w:rsid w:val="006346FF"/>
    <w:rsid w:val="00643B24"/>
    <w:rsid w:val="0064537A"/>
    <w:rsid w:val="00645E43"/>
    <w:rsid w:val="00646C13"/>
    <w:rsid w:val="00646D4B"/>
    <w:rsid w:val="00655099"/>
    <w:rsid w:val="00656A10"/>
    <w:rsid w:val="00666A62"/>
    <w:rsid w:val="00667AFF"/>
    <w:rsid w:val="00667D7C"/>
    <w:rsid w:val="006815FB"/>
    <w:rsid w:val="00681D36"/>
    <w:rsid w:val="006862E2"/>
    <w:rsid w:val="0069293C"/>
    <w:rsid w:val="0069457C"/>
    <w:rsid w:val="006A0BF8"/>
    <w:rsid w:val="006A6C9A"/>
    <w:rsid w:val="006B13EA"/>
    <w:rsid w:val="006B45D1"/>
    <w:rsid w:val="006B4F36"/>
    <w:rsid w:val="006B6267"/>
    <w:rsid w:val="006C21F0"/>
    <w:rsid w:val="006C2810"/>
    <w:rsid w:val="006C29B0"/>
    <w:rsid w:val="006C3093"/>
    <w:rsid w:val="006C7837"/>
    <w:rsid w:val="006D33C0"/>
    <w:rsid w:val="006D3B44"/>
    <w:rsid w:val="006D54B0"/>
    <w:rsid w:val="006E2D19"/>
    <w:rsid w:val="006E5103"/>
    <w:rsid w:val="006E6DC8"/>
    <w:rsid w:val="006F40AD"/>
    <w:rsid w:val="006F4BCE"/>
    <w:rsid w:val="006F5DC4"/>
    <w:rsid w:val="00704A65"/>
    <w:rsid w:val="007065B9"/>
    <w:rsid w:val="00711F7B"/>
    <w:rsid w:val="00712CB4"/>
    <w:rsid w:val="0072691B"/>
    <w:rsid w:val="00730412"/>
    <w:rsid w:val="00740326"/>
    <w:rsid w:val="00761AFE"/>
    <w:rsid w:val="0076320D"/>
    <w:rsid w:val="00764B24"/>
    <w:rsid w:val="007669DB"/>
    <w:rsid w:val="007721BA"/>
    <w:rsid w:val="00774D38"/>
    <w:rsid w:val="007761B2"/>
    <w:rsid w:val="00784825"/>
    <w:rsid w:val="00784F34"/>
    <w:rsid w:val="00787DA4"/>
    <w:rsid w:val="007902C7"/>
    <w:rsid w:val="00796B57"/>
    <w:rsid w:val="007A38BE"/>
    <w:rsid w:val="007A4573"/>
    <w:rsid w:val="007A5BDE"/>
    <w:rsid w:val="007A5E87"/>
    <w:rsid w:val="007B14B1"/>
    <w:rsid w:val="007B46BC"/>
    <w:rsid w:val="007B61A2"/>
    <w:rsid w:val="007C10B1"/>
    <w:rsid w:val="007C440D"/>
    <w:rsid w:val="007C7F6B"/>
    <w:rsid w:val="007D4197"/>
    <w:rsid w:val="007D5F43"/>
    <w:rsid w:val="007E4660"/>
    <w:rsid w:val="007E476F"/>
    <w:rsid w:val="007E7211"/>
    <w:rsid w:val="00804F64"/>
    <w:rsid w:val="00806DF2"/>
    <w:rsid w:val="00825274"/>
    <w:rsid w:val="008258D7"/>
    <w:rsid w:val="00830274"/>
    <w:rsid w:val="008351F9"/>
    <w:rsid w:val="008367D6"/>
    <w:rsid w:val="00840B76"/>
    <w:rsid w:val="00841360"/>
    <w:rsid w:val="00842263"/>
    <w:rsid w:val="008426B8"/>
    <w:rsid w:val="00842A6F"/>
    <w:rsid w:val="00852FD2"/>
    <w:rsid w:val="00856D3D"/>
    <w:rsid w:val="00865C48"/>
    <w:rsid w:val="0087668D"/>
    <w:rsid w:val="00883AAF"/>
    <w:rsid w:val="00885B8B"/>
    <w:rsid w:val="00887971"/>
    <w:rsid w:val="008900D4"/>
    <w:rsid w:val="00894B9A"/>
    <w:rsid w:val="008B187C"/>
    <w:rsid w:val="008C04FF"/>
    <w:rsid w:val="008C14EB"/>
    <w:rsid w:val="008C3C79"/>
    <w:rsid w:val="008C47AD"/>
    <w:rsid w:val="008D1E57"/>
    <w:rsid w:val="008D1F11"/>
    <w:rsid w:val="008D1FA7"/>
    <w:rsid w:val="008D5DA1"/>
    <w:rsid w:val="008E3F5F"/>
    <w:rsid w:val="008F11CC"/>
    <w:rsid w:val="008F49B7"/>
    <w:rsid w:val="0090359F"/>
    <w:rsid w:val="00903F38"/>
    <w:rsid w:val="00912D2C"/>
    <w:rsid w:val="009160DE"/>
    <w:rsid w:val="00921D0D"/>
    <w:rsid w:val="00921E30"/>
    <w:rsid w:val="00921FA4"/>
    <w:rsid w:val="00930A1E"/>
    <w:rsid w:val="00945C1B"/>
    <w:rsid w:val="00952A3B"/>
    <w:rsid w:val="00954A33"/>
    <w:rsid w:val="00956F24"/>
    <w:rsid w:val="0095780C"/>
    <w:rsid w:val="0096683C"/>
    <w:rsid w:val="00973135"/>
    <w:rsid w:val="00974266"/>
    <w:rsid w:val="00975DBE"/>
    <w:rsid w:val="009808C4"/>
    <w:rsid w:val="0098178E"/>
    <w:rsid w:val="0098241D"/>
    <w:rsid w:val="00982BB3"/>
    <w:rsid w:val="00983876"/>
    <w:rsid w:val="00984B8D"/>
    <w:rsid w:val="0098506F"/>
    <w:rsid w:val="00986C6F"/>
    <w:rsid w:val="00987CBF"/>
    <w:rsid w:val="00994AFD"/>
    <w:rsid w:val="009A08B7"/>
    <w:rsid w:val="009A097D"/>
    <w:rsid w:val="009A6DD5"/>
    <w:rsid w:val="009A768F"/>
    <w:rsid w:val="009B03A8"/>
    <w:rsid w:val="009C26D2"/>
    <w:rsid w:val="009C5213"/>
    <w:rsid w:val="009D3248"/>
    <w:rsid w:val="009D5569"/>
    <w:rsid w:val="009E398E"/>
    <w:rsid w:val="009E7D89"/>
    <w:rsid w:val="009F260B"/>
    <w:rsid w:val="009F43A4"/>
    <w:rsid w:val="009F50D8"/>
    <w:rsid w:val="009F6A04"/>
    <w:rsid w:val="00A016A8"/>
    <w:rsid w:val="00A2646F"/>
    <w:rsid w:val="00A26C33"/>
    <w:rsid w:val="00A30A34"/>
    <w:rsid w:val="00A3205E"/>
    <w:rsid w:val="00A365FB"/>
    <w:rsid w:val="00A47906"/>
    <w:rsid w:val="00A54E50"/>
    <w:rsid w:val="00A61008"/>
    <w:rsid w:val="00A63AF3"/>
    <w:rsid w:val="00A67C7F"/>
    <w:rsid w:val="00A7008E"/>
    <w:rsid w:val="00A738E3"/>
    <w:rsid w:val="00A76D1F"/>
    <w:rsid w:val="00A8264E"/>
    <w:rsid w:val="00A8516E"/>
    <w:rsid w:val="00A8584A"/>
    <w:rsid w:val="00AA0A8E"/>
    <w:rsid w:val="00AA4B27"/>
    <w:rsid w:val="00AB100E"/>
    <w:rsid w:val="00AB17E7"/>
    <w:rsid w:val="00AB2A42"/>
    <w:rsid w:val="00AB5544"/>
    <w:rsid w:val="00AB6123"/>
    <w:rsid w:val="00AC1460"/>
    <w:rsid w:val="00AD18EA"/>
    <w:rsid w:val="00AD3A65"/>
    <w:rsid w:val="00AD6D22"/>
    <w:rsid w:val="00AE0857"/>
    <w:rsid w:val="00AE38AA"/>
    <w:rsid w:val="00AE7A67"/>
    <w:rsid w:val="00AF24F0"/>
    <w:rsid w:val="00AF5DC5"/>
    <w:rsid w:val="00B003C7"/>
    <w:rsid w:val="00B016CA"/>
    <w:rsid w:val="00B07172"/>
    <w:rsid w:val="00B12A90"/>
    <w:rsid w:val="00B12FAE"/>
    <w:rsid w:val="00B13B74"/>
    <w:rsid w:val="00B232B0"/>
    <w:rsid w:val="00B364F9"/>
    <w:rsid w:val="00B375EF"/>
    <w:rsid w:val="00B40D2D"/>
    <w:rsid w:val="00B4182C"/>
    <w:rsid w:val="00B44CEB"/>
    <w:rsid w:val="00B463B2"/>
    <w:rsid w:val="00B4785A"/>
    <w:rsid w:val="00B542C3"/>
    <w:rsid w:val="00B60A5F"/>
    <w:rsid w:val="00B60CEB"/>
    <w:rsid w:val="00B67731"/>
    <w:rsid w:val="00B76FEF"/>
    <w:rsid w:val="00B81451"/>
    <w:rsid w:val="00B819E7"/>
    <w:rsid w:val="00B82D9F"/>
    <w:rsid w:val="00B871DB"/>
    <w:rsid w:val="00B87886"/>
    <w:rsid w:val="00B9071B"/>
    <w:rsid w:val="00BA35B0"/>
    <w:rsid w:val="00BB1787"/>
    <w:rsid w:val="00BB24FA"/>
    <w:rsid w:val="00BB736F"/>
    <w:rsid w:val="00BB7D43"/>
    <w:rsid w:val="00BC1319"/>
    <w:rsid w:val="00BC1CD6"/>
    <w:rsid w:val="00BD160B"/>
    <w:rsid w:val="00BD2424"/>
    <w:rsid w:val="00BD3F2A"/>
    <w:rsid w:val="00BD54E8"/>
    <w:rsid w:val="00BE16AD"/>
    <w:rsid w:val="00BE384B"/>
    <w:rsid w:val="00BF609F"/>
    <w:rsid w:val="00C03BCA"/>
    <w:rsid w:val="00C1012D"/>
    <w:rsid w:val="00C166E4"/>
    <w:rsid w:val="00C17B30"/>
    <w:rsid w:val="00C21B0F"/>
    <w:rsid w:val="00C2675A"/>
    <w:rsid w:val="00C26C90"/>
    <w:rsid w:val="00C27330"/>
    <w:rsid w:val="00C36F98"/>
    <w:rsid w:val="00C406C2"/>
    <w:rsid w:val="00C43B23"/>
    <w:rsid w:val="00C44151"/>
    <w:rsid w:val="00C46281"/>
    <w:rsid w:val="00C47153"/>
    <w:rsid w:val="00C47E1D"/>
    <w:rsid w:val="00C554C7"/>
    <w:rsid w:val="00C6180A"/>
    <w:rsid w:val="00C63403"/>
    <w:rsid w:val="00C643E8"/>
    <w:rsid w:val="00C8061E"/>
    <w:rsid w:val="00C80811"/>
    <w:rsid w:val="00C81AF1"/>
    <w:rsid w:val="00C852D8"/>
    <w:rsid w:val="00C869C4"/>
    <w:rsid w:val="00C91F1C"/>
    <w:rsid w:val="00C93195"/>
    <w:rsid w:val="00C945AF"/>
    <w:rsid w:val="00C94A82"/>
    <w:rsid w:val="00CB4736"/>
    <w:rsid w:val="00CB62B9"/>
    <w:rsid w:val="00CB748D"/>
    <w:rsid w:val="00CC47D1"/>
    <w:rsid w:val="00CE5062"/>
    <w:rsid w:val="00CF158F"/>
    <w:rsid w:val="00CF1B79"/>
    <w:rsid w:val="00CF1FD4"/>
    <w:rsid w:val="00CF2503"/>
    <w:rsid w:val="00CF3AD7"/>
    <w:rsid w:val="00D0270A"/>
    <w:rsid w:val="00D21842"/>
    <w:rsid w:val="00D24ACB"/>
    <w:rsid w:val="00D25FE5"/>
    <w:rsid w:val="00D27BE3"/>
    <w:rsid w:val="00D33E97"/>
    <w:rsid w:val="00D417D8"/>
    <w:rsid w:val="00D43D13"/>
    <w:rsid w:val="00D455FF"/>
    <w:rsid w:val="00D45948"/>
    <w:rsid w:val="00D4688F"/>
    <w:rsid w:val="00D503FD"/>
    <w:rsid w:val="00D50C2A"/>
    <w:rsid w:val="00D57475"/>
    <w:rsid w:val="00D62D8A"/>
    <w:rsid w:val="00D75545"/>
    <w:rsid w:val="00D77AD3"/>
    <w:rsid w:val="00D80C6E"/>
    <w:rsid w:val="00D86897"/>
    <w:rsid w:val="00D86BA9"/>
    <w:rsid w:val="00DA1DAA"/>
    <w:rsid w:val="00DA2295"/>
    <w:rsid w:val="00DA4262"/>
    <w:rsid w:val="00DB13E9"/>
    <w:rsid w:val="00DB4E02"/>
    <w:rsid w:val="00DB63BE"/>
    <w:rsid w:val="00DD0093"/>
    <w:rsid w:val="00DE335A"/>
    <w:rsid w:val="00E03209"/>
    <w:rsid w:val="00E067EC"/>
    <w:rsid w:val="00E104A9"/>
    <w:rsid w:val="00E10C91"/>
    <w:rsid w:val="00E12E7D"/>
    <w:rsid w:val="00E147C4"/>
    <w:rsid w:val="00E157E1"/>
    <w:rsid w:val="00E203C1"/>
    <w:rsid w:val="00E20987"/>
    <w:rsid w:val="00E273BF"/>
    <w:rsid w:val="00E33AB2"/>
    <w:rsid w:val="00E3654F"/>
    <w:rsid w:val="00E443B1"/>
    <w:rsid w:val="00E46DF4"/>
    <w:rsid w:val="00E50207"/>
    <w:rsid w:val="00E50ED3"/>
    <w:rsid w:val="00E54F0E"/>
    <w:rsid w:val="00E553F6"/>
    <w:rsid w:val="00E670D1"/>
    <w:rsid w:val="00E82792"/>
    <w:rsid w:val="00E8577E"/>
    <w:rsid w:val="00E87429"/>
    <w:rsid w:val="00E95C54"/>
    <w:rsid w:val="00E9694D"/>
    <w:rsid w:val="00E9797D"/>
    <w:rsid w:val="00EA1752"/>
    <w:rsid w:val="00EB4FF4"/>
    <w:rsid w:val="00EC2B6D"/>
    <w:rsid w:val="00EC4275"/>
    <w:rsid w:val="00EC689A"/>
    <w:rsid w:val="00EC7B45"/>
    <w:rsid w:val="00ED4C8E"/>
    <w:rsid w:val="00EE6C92"/>
    <w:rsid w:val="00EF48F6"/>
    <w:rsid w:val="00EF5DC5"/>
    <w:rsid w:val="00EF6444"/>
    <w:rsid w:val="00F070F8"/>
    <w:rsid w:val="00F13AA3"/>
    <w:rsid w:val="00F13FA2"/>
    <w:rsid w:val="00F2059F"/>
    <w:rsid w:val="00F20967"/>
    <w:rsid w:val="00F2213C"/>
    <w:rsid w:val="00F321C4"/>
    <w:rsid w:val="00F36B61"/>
    <w:rsid w:val="00F41F20"/>
    <w:rsid w:val="00F45560"/>
    <w:rsid w:val="00F47E7D"/>
    <w:rsid w:val="00F47EF3"/>
    <w:rsid w:val="00F54BD3"/>
    <w:rsid w:val="00F57A89"/>
    <w:rsid w:val="00F60671"/>
    <w:rsid w:val="00F62BAA"/>
    <w:rsid w:val="00F661D2"/>
    <w:rsid w:val="00F7463A"/>
    <w:rsid w:val="00F82593"/>
    <w:rsid w:val="00F8316E"/>
    <w:rsid w:val="00F907E4"/>
    <w:rsid w:val="00F91737"/>
    <w:rsid w:val="00F919E1"/>
    <w:rsid w:val="00F93F68"/>
    <w:rsid w:val="00F95D9C"/>
    <w:rsid w:val="00F97E8D"/>
    <w:rsid w:val="00FA24D7"/>
    <w:rsid w:val="00FA5673"/>
    <w:rsid w:val="00FA6396"/>
    <w:rsid w:val="00FA712E"/>
    <w:rsid w:val="00FB3D31"/>
    <w:rsid w:val="00FC2C36"/>
    <w:rsid w:val="00FD1F0B"/>
    <w:rsid w:val="00FD597B"/>
    <w:rsid w:val="00FE40F6"/>
    <w:rsid w:val="00FE6083"/>
    <w:rsid w:val="00FF0921"/>
    <w:rsid w:val="00FF1E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E216"/>
  <w15:chartTrackingRefBased/>
  <w15:docId w15:val="{AD0578AE-3F3D-4C90-9D29-DD99B0E2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D1"/>
    <w:rPr>
      <w:kern w:val="0"/>
      <w:szCs w:val="22"/>
      <w:lang w:val="en-CA" w:bidi="ar-SA"/>
      <w14:ligatures w14:val="none"/>
    </w:rPr>
  </w:style>
  <w:style w:type="paragraph" w:styleId="Heading1">
    <w:name w:val="heading 1"/>
    <w:basedOn w:val="Normal"/>
    <w:next w:val="Normal"/>
    <w:link w:val="Heading1Char"/>
    <w:uiPriority w:val="9"/>
    <w:qFormat/>
    <w:rsid w:val="00302B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E157E1"/>
    <w:pPr>
      <w:widowControl w:val="0"/>
      <w:autoSpaceDE w:val="0"/>
      <w:autoSpaceDN w:val="0"/>
      <w:spacing w:before="56" w:after="0" w:line="240" w:lineRule="auto"/>
      <w:ind w:left="593" w:hanging="370"/>
      <w:outlineLvl w:val="1"/>
    </w:pPr>
    <w:rPr>
      <w:rFonts w:ascii="Times New Roman" w:eastAsia="Calibri" w:hAnsi="Times New Roman" w:cs="Calibri"/>
      <w:b/>
      <w:bCs/>
      <w:sz w:val="28"/>
      <w:lang w:val="en-US"/>
    </w:rPr>
  </w:style>
  <w:style w:type="paragraph" w:styleId="Heading4">
    <w:name w:val="heading 4"/>
    <w:basedOn w:val="Normal"/>
    <w:next w:val="Normal"/>
    <w:link w:val="Heading4Char"/>
    <w:uiPriority w:val="9"/>
    <w:semiHidden/>
    <w:unhideWhenUsed/>
    <w:qFormat/>
    <w:rsid w:val="004E43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157E1"/>
    <w:rPr>
      <w:rFonts w:ascii="Times New Roman" w:eastAsia="Calibri" w:hAnsi="Times New Roman" w:cs="Calibri"/>
      <w:b/>
      <w:bCs/>
      <w:kern w:val="0"/>
      <w:sz w:val="28"/>
      <w:szCs w:val="22"/>
      <w:lang w:bidi="ar-SA"/>
      <w14:ligatures w14:val="none"/>
    </w:rPr>
  </w:style>
  <w:style w:type="paragraph" w:styleId="NormalWeb">
    <w:name w:val="Normal (Web)"/>
    <w:basedOn w:val="Normal"/>
    <w:uiPriority w:val="99"/>
    <w:semiHidden/>
    <w:unhideWhenUsed/>
    <w:rsid w:val="00594641"/>
    <w:pPr>
      <w:spacing w:before="100" w:beforeAutospacing="1" w:after="100" w:afterAutospacing="1" w:line="240" w:lineRule="auto"/>
    </w:pPr>
    <w:rPr>
      <w:rFonts w:ascii="Angsana New" w:eastAsia="Times New Roman" w:hAnsi="Angsana New" w:cs="Angsana New"/>
      <w:sz w:val="28"/>
      <w:szCs w:val="28"/>
      <w:lang w:val="en-US" w:bidi="th-TH"/>
    </w:rPr>
  </w:style>
  <w:style w:type="character" w:customStyle="1" w:styleId="Heading4Char">
    <w:name w:val="Heading 4 Char"/>
    <w:basedOn w:val="DefaultParagraphFont"/>
    <w:link w:val="Heading4"/>
    <w:uiPriority w:val="9"/>
    <w:semiHidden/>
    <w:rsid w:val="004E4340"/>
    <w:rPr>
      <w:rFonts w:asciiTheme="majorHAnsi" w:eastAsiaTheme="majorEastAsia" w:hAnsiTheme="majorHAnsi" w:cstheme="majorBidi"/>
      <w:i/>
      <w:iCs/>
      <w:color w:val="2F5496" w:themeColor="accent1" w:themeShade="BF"/>
      <w:kern w:val="0"/>
      <w:szCs w:val="22"/>
      <w:lang w:val="en-CA" w:bidi="ar-SA"/>
      <w14:ligatures w14:val="none"/>
    </w:rPr>
  </w:style>
  <w:style w:type="character" w:styleId="Hyperlink">
    <w:name w:val="Hyperlink"/>
    <w:basedOn w:val="DefaultParagraphFont"/>
    <w:uiPriority w:val="99"/>
    <w:unhideWhenUsed/>
    <w:rsid w:val="00B003C7"/>
    <w:rPr>
      <w:color w:val="0563C1" w:themeColor="hyperlink"/>
      <w:u w:val="single"/>
    </w:rPr>
  </w:style>
  <w:style w:type="character" w:customStyle="1" w:styleId="Olstomnmnande1">
    <w:name w:val="Olöst omnämnande1"/>
    <w:basedOn w:val="DefaultParagraphFont"/>
    <w:uiPriority w:val="99"/>
    <w:semiHidden/>
    <w:unhideWhenUsed/>
    <w:rsid w:val="00B003C7"/>
    <w:rPr>
      <w:color w:val="605E5C"/>
      <w:shd w:val="clear" w:color="auto" w:fill="E1DFDD"/>
    </w:rPr>
  </w:style>
  <w:style w:type="paragraph" w:styleId="ListParagraph">
    <w:name w:val="List Paragraph"/>
    <w:basedOn w:val="Normal"/>
    <w:uiPriority w:val="34"/>
    <w:qFormat/>
    <w:rsid w:val="00DA2295"/>
    <w:pPr>
      <w:ind w:left="720"/>
      <w:contextualSpacing/>
    </w:pPr>
  </w:style>
  <w:style w:type="paragraph" w:styleId="Revision">
    <w:name w:val="Revision"/>
    <w:hidden/>
    <w:uiPriority w:val="99"/>
    <w:semiHidden/>
    <w:rsid w:val="00E50ED3"/>
    <w:pPr>
      <w:spacing w:after="0" w:line="240" w:lineRule="auto"/>
    </w:pPr>
    <w:rPr>
      <w:kern w:val="0"/>
      <w:szCs w:val="22"/>
      <w:lang w:val="en-CA" w:bidi="ar-SA"/>
      <w14:ligatures w14:val="none"/>
    </w:rPr>
  </w:style>
  <w:style w:type="character" w:styleId="CommentReference">
    <w:name w:val="annotation reference"/>
    <w:basedOn w:val="DefaultParagraphFont"/>
    <w:uiPriority w:val="99"/>
    <w:semiHidden/>
    <w:unhideWhenUsed/>
    <w:rsid w:val="00E50ED3"/>
    <w:rPr>
      <w:sz w:val="16"/>
      <w:szCs w:val="16"/>
    </w:rPr>
  </w:style>
  <w:style w:type="paragraph" w:styleId="CommentText">
    <w:name w:val="annotation text"/>
    <w:basedOn w:val="Normal"/>
    <w:link w:val="CommentTextChar"/>
    <w:uiPriority w:val="99"/>
    <w:unhideWhenUsed/>
    <w:rsid w:val="00E50ED3"/>
    <w:pPr>
      <w:spacing w:line="240" w:lineRule="auto"/>
    </w:pPr>
    <w:rPr>
      <w:sz w:val="20"/>
      <w:szCs w:val="20"/>
    </w:rPr>
  </w:style>
  <w:style w:type="character" w:customStyle="1" w:styleId="CommentTextChar">
    <w:name w:val="Comment Text Char"/>
    <w:basedOn w:val="DefaultParagraphFont"/>
    <w:link w:val="CommentText"/>
    <w:uiPriority w:val="99"/>
    <w:rsid w:val="00E50ED3"/>
    <w:rPr>
      <w:kern w:val="0"/>
      <w:sz w:val="20"/>
      <w:szCs w:val="20"/>
      <w:lang w:val="en-CA" w:bidi="ar-SA"/>
      <w14:ligatures w14:val="none"/>
    </w:rPr>
  </w:style>
  <w:style w:type="paragraph" w:styleId="CommentSubject">
    <w:name w:val="annotation subject"/>
    <w:basedOn w:val="CommentText"/>
    <w:next w:val="CommentText"/>
    <w:link w:val="CommentSubjectChar"/>
    <w:uiPriority w:val="99"/>
    <w:semiHidden/>
    <w:unhideWhenUsed/>
    <w:rsid w:val="00E50ED3"/>
    <w:rPr>
      <w:b/>
      <w:bCs/>
    </w:rPr>
  </w:style>
  <w:style w:type="character" w:customStyle="1" w:styleId="CommentSubjectChar">
    <w:name w:val="Comment Subject Char"/>
    <w:basedOn w:val="CommentTextChar"/>
    <w:link w:val="CommentSubject"/>
    <w:uiPriority w:val="99"/>
    <w:semiHidden/>
    <w:rsid w:val="00E50ED3"/>
    <w:rPr>
      <w:b/>
      <w:bCs/>
      <w:kern w:val="0"/>
      <w:sz w:val="20"/>
      <w:szCs w:val="20"/>
      <w:lang w:val="en-CA" w:bidi="ar-SA"/>
      <w14:ligatures w14:val="none"/>
    </w:rPr>
  </w:style>
  <w:style w:type="character" w:styleId="FollowedHyperlink">
    <w:name w:val="FollowedHyperlink"/>
    <w:basedOn w:val="DefaultParagraphFont"/>
    <w:uiPriority w:val="99"/>
    <w:semiHidden/>
    <w:unhideWhenUsed/>
    <w:rsid w:val="00080A8D"/>
    <w:rPr>
      <w:color w:val="954F72" w:themeColor="followedHyperlink"/>
      <w:u w:val="single"/>
    </w:rPr>
  </w:style>
  <w:style w:type="character" w:customStyle="1" w:styleId="Olstomnmnande2">
    <w:name w:val="Olöst omnämnande2"/>
    <w:basedOn w:val="DefaultParagraphFont"/>
    <w:uiPriority w:val="99"/>
    <w:semiHidden/>
    <w:unhideWhenUsed/>
    <w:rsid w:val="009E7D89"/>
    <w:rPr>
      <w:color w:val="605E5C"/>
      <w:shd w:val="clear" w:color="auto" w:fill="E1DFDD"/>
    </w:rPr>
  </w:style>
  <w:style w:type="paragraph" w:styleId="BalloonText">
    <w:name w:val="Balloon Text"/>
    <w:basedOn w:val="Normal"/>
    <w:link w:val="BalloonTextChar"/>
    <w:uiPriority w:val="99"/>
    <w:semiHidden/>
    <w:unhideWhenUsed/>
    <w:rsid w:val="00487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56"/>
    <w:rPr>
      <w:rFonts w:ascii="Segoe UI" w:hAnsi="Segoe UI" w:cs="Segoe UI"/>
      <w:kern w:val="0"/>
      <w:sz w:val="18"/>
      <w:szCs w:val="18"/>
      <w:lang w:val="en-CA" w:bidi="ar-SA"/>
      <w14:ligatures w14:val="none"/>
    </w:rPr>
  </w:style>
  <w:style w:type="character" w:customStyle="1" w:styleId="Heading1Char">
    <w:name w:val="Heading 1 Char"/>
    <w:basedOn w:val="DefaultParagraphFont"/>
    <w:link w:val="Heading1"/>
    <w:uiPriority w:val="9"/>
    <w:rsid w:val="00302BAE"/>
    <w:rPr>
      <w:rFonts w:asciiTheme="majorHAnsi" w:eastAsiaTheme="majorEastAsia" w:hAnsiTheme="majorHAnsi" w:cstheme="majorBidi"/>
      <w:color w:val="2F5496" w:themeColor="accent1" w:themeShade="BF"/>
      <w:kern w:val="0"/>
      <w:sz w:val="32"/>
      <w:szCs w:val="32"/>
      <w:lang w:val="en-CA" w:bidi="ar-SA"/>
      <w14:ligatures w14:val="none"/>
    </w:rPr>
  </w:style>
  <w:style w:type="character" w:customStyle="1" w:styleId="UnresolvedMention1">
    <w:name w:val="Unresolved Mention1"/>
    <w:basedOn w:val="DefaultParagraphFont"/>
    <w:uiPriority w:val="99"/>
    <w:semiHidden/>
    <w:unhideWhenUsed/>
    <w:rsid w:val="00F47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883">
      <w:bodyDiv w:val="1"/>
      <w:marLeft w:val="0"/>
      <w:marRight w:val="0"/>
      <w:marTop w:val="0"/>
      <w:marBottom w:val="0"/>
      <w:divBdr>
        <w:top w:val="none" w:sz="0" w:space="0" w:color="auto"/>
        <w:left w:val="none" w:sz="0" w:space="0" w:color="auto"/>
        <w:bottom w:val="none" w:sz="0" w:space="0" w:color="auto"/>
        <w:right w:val="none" w:sz="0" w:space="0" w:color="auto"/>
      </w:divBdr>
    </w:div>
    <w:div w:id="33774176">
      <w:bodyDiv w:val="1"/>
      <w:marLeft w:val="0"/>
      <w:marRight w:val="0"/>
      <w:marTop w:val="0"/>
      <w:marBottom w:val="0"/>
      <w:divBdr>
        <w:top w:val="none" w:sz="0" w:space="0" w:color="auto"/>
        <w:left w:val="none" w:sz="0" w:space="0" w:color="auto"/>
        <w:bottom w:val="none" w:sz="0" w:space="0" w:color="auto"/>
        <w:right w:val="none" w:sz="0" w:space="0" w:color="auto"/>
      </w:divBdr>
    </w:div>
    <w:div w:id="74983477">
      <w:bodyDiv w:val="1"/>
      <w:marLeft w:val="0"/>
      <w:marRight w:val="0"/>
      <w:marTop w:val="0"/>
      <w:marBottom w:val="0"/>
      <w:divBdr>
        <w:top w:val="none" w:sz="0" w:space="0" w:color="auto"/>
        <w:left w:val="none" w:sz="0" w:space="0" w:color="auto"/>
        <w:bottom w:val="none" w:sz="0" w:space="0" w:color="auto"/>
        <w:right w:val="none" w:sz="0" w:space="0" w:color="auto"/>
      </w:divBdr>
    </w:div>
    <w:div w:id="295067457">
      <w:bodyDiv w:val="1"/>
      <w:marLeft w:val="0"/>
      <w:marRight w:val="0"/>
      <w:marTop w:val="0"/>
      <w:marBottom w:val="0"/>
      <w:divBdr>
        <w:top w:val="none" w:sz="0" w:space="0" w:color="auto"/>
        <w:left w:val="none" w:sz="0" w:space="0" w:color="auto"/>
        <w:bottom w:val="none" w:sz="0" w:space="0" w:color="auto"/>
        <w:right w:val="none" w:sz="0" w:space="0" w:color="auto"/>
      </w:divBdr>
    </w:div>
    <w:div w:id="340668996">
      <w:bodyDiv w:val="1"/>
      <w:marLeft w:val="0"/>
      <w:marRight w:val="0"/>
      <w:marTop w:val="0"/>
      <w:marBottom w:val="0"/>
      <w:divBdr>
        <w:top w:val="none" w:sz="0" w:space="0" w:color="auto"/>
        <w:left w:val="none" w:sz="0" w:space="0" w:color="auto"/>
        <w:bottom w:val="none" w:sz="0" w:space="0" w:color="auto"/>
        <w:right w:val="none" w:sz="0" w:space="0" w:color="auto"/>
      </w:divBdr>
    </w:div>
    <w:div w:id="388458630">
      <w:bodyDiv w:val="1"/>
      <w:marLeft w:val="0"/>
      <w:marRight w:val="0"/>
      <w:marTop w:val="0"/>
      <w:marBottom w:val="0"/>
      <w:divBdr>
        <w:top w:val="none" w:sz="0" w:space="0" w:color="auto"/>
        <w:left w:val="none" w:sz="0" w:space="0" w:color="auto"/>
        <w:bottom w:val="none" w:sz="0" w:space="0" w:color="auto"/>
        <w:right w:val="none" w:sz="0" w:space="0" w:color="auto"/>
      </w:divBdr>
    </w:div>
    <w:div w:id="435104607">
      <w:bodyDiv w:val="1"/>
      <w:marLeft w:val="0"/>
      <w:marRight w:val="0"/>
      <w:marTop w:val="0"/>
      <w:marBottom w:val="0"/>
      <w:divBdr>
        <w:top w:val="none" w:sz="0" w:space="0" w:color="auto"/>
        <w:left w:val="none" w:sz="0" w:space="0" w:color="auto"/>
        <w:bottom w:val="none" w:sz="0" w:space="0" w:color="auto"/>
        <w:right w:val="none" w:sz="0" w:space="0" w:color="auto"/>
      </w:divBdr>
    </w:div>
    <w:div w:id="453213224">
      <w:bodyDiv w:val="1"/>
      <w:marLeft w:val="0"/>
      <w:marRight w:val="0"/>
      <w:marTop w:val="0"/>
      <w:marBottom w:val="0"/>
      <w:divBdr>
        <w:top w:val="none" w:sz="0" w:space="0" w:color="auto"/>
        <w:left w:val="none" w:sz="0" w:space="0" w:color="auto"/>
        <w:bottom w:val="none" w:sz="0" w:space="0" w:color="auto"/>
        <w:right w:val="none" w:sz="0" w:space="0" w:color="auto"/>
      </w:divBdr>
    </w:div>
    <w:div w:id="458451412">
      <w:bodyDiv w:val="1"/>
      <w:marLeft w:val="0"/>
      <w:marRight w:val="0"/>
      <w:marTop w:val="0"/>
      <w:marBottom w:val="0"/>
      <w:divBdr>
        <w:top w:val="none" w:sz="0" w:space="0" w:color="auto"/>
        <w:left w:val="none" w:sz="0" w:space="0" w:color="auto"/>
        <w:bottom w:val="none" w:sz="0" w:space="0" w:color="auto"/>
        <w:right w:val="none" w:sz="0" w:space="0" w:color="auto"/>
      </w:divBdr>
    </w:div>
    <w:div w:id="475802869">
      <w:bodyDiv w:val="1"/>
      <w:marLeft w:val="0"/>
      <w:marRight w:val="0"/>
      <w:marTop w:val="0"/>
      <w:marBottom w:val="0"/>
      <w:divBdr>
        <w:top w:val="none" w:sz="0" w:space="0" w:color="auto"/>
        <w:left w:val="none" w:sz="0" w:space="0" w:color="auto"/>
        <w:bottom w:val="none" w:sz="0" w:space="0" w:color="auto"/>
        <w:right w:val="none" w:sz="0" w:space="0" w:color="auto"/>
      </w:divBdr>
    </w:div>
    <w:div w:id="626161197">
      <w:bodyDiv w:val="1"/>
      <w:marLeft w:val="0"/>
      <w:marRight w:val="0"/>
      <w:marTop w:val="0"/>
      <w:marBottom w:val="0"/>
      <w:divBdr>
        <w:top w:val="none" w:sz="0" w:space="0" w:color="auto"/>
        <w:left w:val="none" w:sz="0" w:space="0" w:color="auto"/>
        <w:bottom w:val="none" w:sz="0" w:space="0" w:color="auto"/>
        <w:right w:val="none" w:sz="0" w:space="0" w:color="auto"/>
      </w:divBdr>
    </w:div>
    <w:div w:id="757824558">
      <w:bodyDiv w:val="1"/>
      <w:marLeft w:val="0"/>
      <w:marRight w:val="0"/>
      <w:marTop w:val="0"/>
      <w:marBottom w:val="0"/>
      <w:divBdr>
        <w:top w:val="none" w:sz="0" w:space="0" w:color="auto"/>
        <w:left w:val="none" w:sz="0" w:space="0" w:color="auto"/>
        <w:bottom w:val="none" w:sz="0" w:space="0" w:color="auto"/>
        <w:right w:val="none" w:sz="0" w:space="0" w:color="auto"/>
      </w:divBdr>
    </w:div>
    <w:div w:id="954020712">
      <w:bodyDiv w:val="1"/>
      <w:marLeft w:val="0"/>
      <w:marRight w:val="0"/>
      <w:marTop w:val="0"/>
      <w:marBottom w:val="0"/>
      <w:divBdr>
        <w:top w:val="none" w:sz="0" w:space="0" w:color="auto"/>
        <w:left w:val="none" w:sz="0" w:space="0" w:color="auto"/>
        <w:bottom w:val="none" w:sz="0" w:space="0" w:color="auto"/>
        <w:right w:val="none" w:sz="0" w:space="0" w:color="auto"/>
      </w:divBdr>
    </w:div>
    <w:div w:id="963778375">
      <w:bodyDiv w:val="1"/>
      <w:marLeft w:val="0"/>
      <w:marRight w:val="0"/>
      <w:marTop w:val="0"/>
      <w:marBottom w:val="0"/>
      <w:divBdr>
        <w:top w:val="none" w:sz="0" w:space="0" w:color="auto"/>
        <w:left w:val="none" w:sz="0" w:space="0" w:color="auto"/>
        <w:bottom w:val="none" w:sz="0" w:space="0" w:color="auto"/>
        <w:right w:val="none" w:sz="0" w:space="0" w:color="auto"/>
      </w:divBdr>
    </w:div>
    <w:div w:id="981812615">
      <w:bodyDiv w:val="1"/>
      <w:marLeft w:val="0"/>
      <w:marRight w:val="0"/>
      <w:marTop w:val="0"/>
      <w:marBottom w:val="0"/>
      <w:divBdr>
        <w:top w:val="none" w:sz="0" w:space="0" w:color="auto"/>
        <w:left w:val="none" w:sz="0" w:space="0" w:color="auto"/>
        <w:bottom w:val="none" w:sz="0" w:space="0" w:color="auto"/>
        <w:right w:val="none" w:sz="0" w:space="0" w:color="auto"/>
      </w:divBdr>
    </w:div>
    <w:div w:id="1046101551">
      <w:bodyDiv w:val="1"/>
      <w:marLeft w:val="0"/>
      <w:marRight w:val="0"/>
      <w:marTop w:val="0"/>
      <w:marBottom w:val="0"/>
      <w:divBdr>
        <w:top w:val="none" w:sz="0" w:space="0" w:color="auto"/>
        <w:left w:val="none" w:sz="0" w:space="0" w:color="auto"/>
        <w:bottom w:val="none" w:sz="0" w:space="0" w:color="auto"/>
        <w:right w:val="none" w:sz="0" w:space="0" w:color="auto"/>
      </w:divBdr>
    </w:div>
    <w:div w:id="1106121552">
      <w:bodyDiv w:val="1"/>
      <w:marLeft w:val="0"/>
      <w:marRight w:val="0"/>
      <w:marTop w:val="0"/>
      <w:marBottom w:val="0"/>
      <w:divBdr>
        <w:top w:val="none" w:sz="0" w:space="0" w:color="auto"/>
        <w:left w:val="none" w:sz="0" w:space="0" w:color="auto"/>
        <w:bottom w:val="none" w:sz="0" w:space="0" w:color="auto"/>
        <w:right w:val="none" w:sz="0" w:space="0" w:color="auto"/>
      </w:divBdr>
      <w:divsChild>
        <w:div w:id="1264990897">
          <w:marLeft w:val="0"/>
          <w:marRight w:val="0"/>
          <w:marTop w:val="0"/>
          <w:marBottom w:val="0"/>
          <w:divBdr>
            <w:top w:val="none" w:sz="0" w:space="0" w:color="auto"/>
            <w:left w:val="none" w:sz="0" w:space="0" w:color="auto"/>
            <w:bottom w:val="none" w:sz="0" w:space="0" w:color="auto"/>
            <w:right w:val="none" w:sz="0" w:space="0" w:color="auto"/>
          </w:divBdr>
        </w:div>
      </w:divsChild>
    </w:div>
    <w:div w:id="1172139398">
      <w:bodyDiv w:val="1"/>
      <w:marLeft w:val="0"/>
      <w:marRight w:val="0"/>
      <w:marTop w:val="0"/>
      <w:marBottom w:val="0"/>
      <w:divBdr>
        <w:top w:val="none" w:sz="0" w:space="0" w:color="auto"/>
        <w:left w:val="none" w:sz="0" w:space="0" w:color="auto"/>
        <w:bottom w:val="none" w:sz="0" w:space="0" w:color="auto"/>
        <w:right w:val="none" w:sz="0" w:space="0" w:color="auto"/>
      </w:divBdr>
    </w:div>
    <w:div w:id="1202665976">
      <w:bodyDiv w:val="1"/>
      <w:marLeft w:val="0"/>
      <w:marRight w:val="0"/>
      <w:marTop w:val="0"/>
      <w:marBottom w:val="0"/>
      <w:divBdr>
        <w:top w:val="none" w:sz="0" w:space="0" w:color="auto"/>
        <w:left w:val="none" w:sz="0" w:space="0" w:color="auto"/>
        <w:bottom w:val="none" w:sz="0" w:space="0" w:color="auto"/>
        <w:right w:val="none" w:sz="0" w:space="0" w:color="auto"/>
      </w:divBdr>
    </w:div>
    <w:div w:id="1225724110">
      <w:bodyDiv w:val="1"/>
      <w:marLeft w:val="0"/>
      <w:marRight w:val="0"/>
      <w:marTop w:val="0"/>
      <w:marBottom w:val="0"/>
      <w:divBdr>
        <w:top w:val="none" w:sz="0" w:space="0" w:color="auto"/>
        <w:left w:val="none" w:sz="0" w:space="0" w:color="auto"/>
        <w:bottom w:val="none" w:sz="0" w:space="0" w:color="auto"/>
        <w:right w:val="none" w:sz="0" w:space="0" w:color="auto"/>
      </w:divBdr>
    </w:div>
    <w:div w:id="1328556462">
      <w:bodyDiv w:val="1"/>
      <w:marLeft w:val="0"/>
      <w:marRight w:val="0"/>
      <w:marTop w:val="0"/>
      <w:marBottom w:val="0"/>
      <w:divBdr>
        <w:top w:val="none" w:sz="0" w:space="0" w:color="auto"/>
        <w:left w:val="none" w:sz="0" w:space="0" w:color="auto"/>
        <w:bottom w:val="none" w:sz="0" w:space="0" w:color="auto"/>
        <w:right w:val="none" w:sz="0" w:space="0" w:color="auto"/>
      </w:divBdr>
    </w:div>
    <w:div w:id="1330861826">
      <w:bodyDiv w:val="1"/>
      <w:marLeft w:val="0"/>
      <w:marRight w:val="0"/>
      <w:marTop w:val="0"/>
      <w:marBottom w:val="0"/>
      <w:divBdr>
        <w:top w:val="none" w:sz="0" w:space="0" w:color="auto"/>
        <w:left w:val="none" w:sz="0" w:space="0" w:color="auto"/>
        <w:bottom w:val="none" w:sz="0" w:space="0" w:color="auto"/>
        <w:right w:val="none" w:sz="0" w:space="0" w:color="auto"/>
      </w:divBdr>
    </w:div>
    <w:div w:id="1389721829">
      <w:bodyDiv w:val="1"/>
      <w:marLeft w:val="0"/>
      <w:marRight w:val="0"/>
      <w:marTop w:val="0"/>
      <w:marBottom w:val="0"/>
      <w:divBdr>
        <w:top w:val="none" w:sz="0" w:space="0" w:color="auto"/>
        <w:left w:val="none" w:sz="0" w:space="0" w:color="auto"/>
        <w:bottom w:val="none" w:sz="0" w:space="0" w:color="auto"/>
        <w:right w:val="none" w:sz="0" w:space="0" w:color="auto"/>
      </w:divBdr>
      <w:divsChild>
        <w:div w:id="720056105">
          <w:marLeft w:val="0"/>
          <w:marRight w:val="0"/>
          <w:marTop w:val="0"/>
          <w:marBottom w:val="0"/>
          <w:divBdr>
            <w:top w:val="none" w:sz="0" w:space="0" w:color="auto"/>
            <w:left w:val="none" w:sz="0" w:space="0" w:color="auto"/>
            <w:bottom w:val="none" w:sz="0" w:space="0" w:color="auto"/>
            <w:right w:val="none" w:sz="0" w:space="0" w:color="auto"/>
          </w:divBdr>
        </w:div>
      </w:divsChild>
    </w:div>
    <w:div w:id="1469275980">
      <w:bodyDiv w:val="1"/>
      <w:marLeft w:val="0"/>
      <w:marRight w:val="0"/>
      <w:marTop w:val="0"/>
      <w:marBottom w:val="0"/>
      <w:divBdr>
        <w:top w:val="none" w:sz="0" w:space="0" w:color="auto"/>
        <w:left w:val="none" w:sz="0" w:space="0" w:color="auto"/>
        <w:bottom w:val="none" w:sz="0" w:space="0" w:color="auto"/>
        <w:right w:val="none" w:sz="0" w:space="0" w:color="auto"/>
      </w:divBdr>
    </w:div>
    <w:div w:id="1741751133">
      <w:bodyDiv w:val="1"/>
      <w:marLeft w:val="0"/>
      <w:marRight w:val="0"/>
      <w:marTop w:val="0"/>
      <w:marBottom w:val="0"/>
      <w:divBdr>
        <w:top w:val="none" w:sz="0" w:space="0" w:color="auto"/>
        <w:left w:val="none" w:sz="0" w:space="0" w:color="auto"/>
        <w:bottom w:val="none" w:sz="0" w:space="0" w:color="auto"/>
        <w:right w:val="none" w:sz="0" w:space="0" w:color="auto"/>
      </w:divBdr>
    </w:div>
    <w:div w:id="1826893145">
      <w:bodyDiv w:val="1"/>
      <w:marLeft w:val="0"/>
      <w:marRight w:val="0"/>
      <w:marTop w:val="0"/>
      <w:marBottom w:val="0"/>
      <w:divBdr>
        <w:top w:val="none" w:sz="0" w:space="0" w:color="auto"/>
        <w:left w:val="none" w:sz="0" w:space="0" w:color="auto"/>
        <w:bottom w:val="none" w:sz="0" w:space="0" w:color="auto"/>
        <w:right w:val="none" w:sz="0" w:space="0" w:color="auto"/>
      </w:divBdr>
    </w:div>
    <w:div w:id="2002268069">
      <w:bodyDiv w:val="1"/>
      <w:marLeft w:val="0"/>
      <w:marRight w:val="0"/>
      <w:marTop w:val="0"/>
      <w:marBottom w:val="0"/>
      <w:divBdr>
        <w:top w:val="none" w:sz="0" w:space="0" w:color="auto"/>
        <w:left w:val="none" w:sz="0" w:space="0" w:color="auto"/>
        <w:bottom w:val="none" w:sz="0" w:space="0" w:color="auto"/>
        <w:right w:val="none" w:sz="0" w:space="0" w:color="auto"/>
      </w:divBdr>
    </w:div>
    <w:div w:id="20139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s.ed.ac.uk/staff/nason-maani" TargetMode="External"/><Relationship Id="rId18" Type="http://schemas.openxmlformats.org/officeDocument/2006/relationships/hyperlink" Target="https://www.sps.ed.ac.uk/staff/nason-maani" TargetMode="External"/><Relationship Id="rId26" Type="http://schemas.openxmlformats.org/officeDocument/2006/relationships/hyperlink" Target="https://staffportal.curtin.edu.au/staff/profile/view/mike-daube-15ab73b3/" TargetMode="External"/><Relationship Id="rId39" Type="http://schemas.openxmlformats.org/officeDocument/2006/relationships/hyperlink" Target="https://staffportal.curtin.edu.au/staff/profile/view/mike-daube-15ab73b3/" TargetMode="External"/><Relationship Id="rId21" Type="http://schemas.openxmlformats.org/officeDocument/2006/relationships/hyperlink" Target="https://www.sps.ed.ac.uk/staff/nason-maani" TargetMode="External"/><Relationship Id="rId34" Type="http://schemas.openxmlformats.org/officeDocument/2006/relationships/hyperlink" Target="https://staffportal.curtin.edu.au/staff/profile/view/mike-daube-15ab73b3/" TargetMode="External"/><Relationship Id="rId42" Type="http://schemas.openxmlformats.org/officeDocument/2006/relationships/hyperlink" Target="https://staffportal.curtin.edu.au/staff/profile/view/mike-daube-15ab73b3/" TargetMode="External"/><Relationship Id="rId47" Type="http://schemas.openxmlformats.org/officeDocument/2006/relationships/hyperlink" Target="https://ke.ncbagroup.com/our-board-of-directors/" TargetMode="External"/><Relationship Id="rId50" Type="http://schemas.openxmlformats.org/officeDocument/2006/relationships/hyperlink" Target="https://ke.ncbagroup.com/our-board-of-directors/" TargetMode="External"/><Relationship Id="rId55" Type="http://schemas.openxmlformats.org/officeDocument/2006/relationships/hyperlink" Target="https://ke.ncbagroup.com/our-board-of-directors/" TargetMode="External"/><Relationship Id="rId63" Type="http://schemas.openxmlformats.org/officeDocument/2006/relationships/hyperlink" Target="https://www.ft.com/content/cde8696f-3c48-4f40-8599-79626b903591" TargetMode="External"/><Relationship Id="rId68" Type="http://schemas.openxmlformats.org/officeDocument/2006/relationships/hyperlink" Target="https://www.ipcc.ch/report/ar6/syr/" TargetMode="External"/><Relationship Id="rId7" Type="http://schemas.openxmlformats.org/officeDocument/2006/relationships/hyperlink" Target="https://www.sps.ed.ac.uk/staff/nason-maani" TargetMode="External"/><Relationship Id="rId2" Type="http://schemas.openxmlformats.org/officeDocument/2006/relationships/numbering" Target="numbering.xml"/><Relationship Id="rId16" Type="http://schemas.openxmlformats.org/officeDocument/2006/relationships/hyperlink" Target="https://www.sps.ed.ac.uk/staff/nason-maani" TargetMode="External"/><Relationship Id="rId29" Type="http://schemas.openxmlformats.org/officeDocument/2006/relationships/hyperlink" Target="https://staffportal.curtin.edu.au/staff/profile/view/mike-daube-15ab73b3/"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ps.ed.ac.uk/staff/nason-maani" TargetMode="External"/><Relationship Id="rId24" Type="http://schemas.openxmlformats.org/officeDocument/2006/relationships/hyperlink" Target="https://staffportal.curtin.edu.au/staff/profile/view/mike-daube-15ab73b3/" TargetMode="External"/><Relationship Id="rId32" Type="http://schemas.openxmlformats.org/officeDocument/2006/relationships/hyperlink" Target="https://staffportal.curtin.edu.au/staff/profile/view/mike-daube-15ab73b3/" TargetMode="External"/><Relationship Id="rId37" Type="http://schemas.openxmlformats.org/officeDocument/2006/relationships/hyperlink" Target="https://staffportal.curtin.edu.au/staff/profile/view/mike-daube-15ab73b3/" TargetMode="External"/><Relationship Id="rId40" Type="http://schemas.openxmlformats.org/officeDocument/2006/relationships/hyperlink" Target="https://staffportal.curtin.edu.au/staff/profile/view/mike-daube-15ab73b3/" TargetMode="External"/><Relationship Id="rId45" Type="http://schemas.openxmlformats.org/officeDocument/2006/relationships/hyperlink" Target="https://staffportal.curtin.edu.au/staff/profile/view/mike-daube-15ab73b3/" TargetMode="External"/><Relationship Id="rId53" Type="http://schemas.openxmlformats.org/officeDocument/2006/relationships/hyperlink" Target="https://ke.ncbagroup.com/our-board-of-directors/" TargetMode="External"/><Relationship Id="rId58" Type="http://schemas.openxmlformats.org/officeDocument/2006/relationships/hyperlink" Target="https://ke.ncbagroup.com/our-board-of-directors/" TargetMode="External"/><Relationship Id="rId66" Type="http://schemas.openxmlformats.org/officeDocument/2006/relationships/hyperlink" Target="https://earth.org/the-advantages-and-disadvantages-of-nuclear-energy/" TargetMode="External"/><Relationship Id="rId5" Type="http://schemas.openxmlformats.org/officeDocument/2006/relationships/webSettings" Target="webSettings.xml"/><Relationship Id="rId15" Type="http://schemas.openxmlformats.org/officeDocument/2006/relationships/hyperlink" Target="https://www.sps.ed.ac.uk/staff/nason-maani" TargetMode="External"/><Relationship Id="rId23" Type="http://schemas.openxmlformats.org/officeDocument/2006/relationships/hyperlink" Target="https://www.sps.ed.ac.uk/staff/nason-maani" TargetMode="External"/><Relationship Id="rId28" Type="http://schemas.openxmlformats.org/officeDocument/2006/relationships/hyperlink" Target="https://staffportal.curtin.edu.au/staff/profile/view/mike-daube-15ab73b3/" TargetMode="External"/><Relationship Id="rId36" Type="http://schemas.openxmlformats.org/officeDocument/2006/relationships/hyperlink" Target="https://staffportal.curtin.edu.au/staff/profile/view/mike-daube-15ab73b3/" TargetMode="External"/><Relationship Id="rId49" Type="http://schemas.openxmlformats.org/officeDocument/2006/relationships/hyperlink" Target="https://ke.ncbagroup.com/our-board-of-directors/" TargetMode="External"/><Relationship Id="rId57" Type="http://schemas.openxmlformats.org/officeDocument/2006/relationships/hyperlink" Target="https://ke.ncbagroup.com/our-board-of-directors/" TargetMode="External"/><Relationship Id="rId61" Type="http://schemas.openxmlformats.org/officeDocument/2006/relationships/hyperlink" Target="https://ke.ncbagroup.com/our-board-of-directors/" TargetMode="External"/><Relationship Id="rId10" Type="http://schemas.openxmlformats.org/officeDocument/2006/relationships/hyperlink" Target="https://www.sps.ed.ac.uk/staff/nason-maani" TargetMode="External"/><Relationship Id="rId19" Type="http://schemas.openxmlformats.org/officeDocument/2006/relationships/hyperlink" Target="https://www.sps.ed.ac.uk/staff/nason-maani" TargetMode="External"/><Relationship Id="rId31" Type="http://schemas.openxmlformats.org/officeDocument/2006/relationships/hyperlink" Target="https://staffportal.curtin.edu.au/staff/profile/view/mike-daube-15ab73b3/" TargetMode="External"/><Relationship Id="rId44" Type="http://schemas.openxmlformats.org/officeDocument/2006/relationships/hyperlink" Target="https://staffportal.curtin.edu.au/staff/profile/view/mike-daube-15ab73b3/" TargetMode="External"/><Relationship Id="rId52" Type="http://schemas.openxmlformats.org/officeDocument/2006/relationships/hyperlink" Target="https://ke.ncbagroup.com/our-board-of-directors/" TargetMode="External"/><Relationship Id="rId60" Type="http://schemas.openxmlformats.org/officeDocument/2006/relationships/hyperlink" Target="https://ke.ncbagroup.com/our-board-of-directors/" TargetMode="External"/><Relationship Id="rId65" Type="http://schemas.openxmlformats.org/officeDocument/2006/relationships/hyperlink" Target="https://digitalcommons.memphis.edu/cgi/viewcontent.cgi?article=3135&amp;context=etd" TargetMode="External"/><Relationship Id="rId4" Type="http://schemas.openxmlformats.org/officeDocument/2006/relationships/settings" Target="settings.xml"/><Relationship Id="rId9" Type="http://schemas.openxmlformats.org/officeDocument/2006/relationships/hyperlink" Target="https://www.sps.ed.ac.uk/staff/nason-maani" TargetMode="External"/><Relationship Id="rId14" Type="http://schemas.openxmlformats.org/officeDocument/2006/relationships/hyperlink" Target="https://www.sps.ed.ac.uk/staff/nason-maani" TargetMode="External"/><Relationship Id="rId22" Type="http://schemas.openxmlformats.org/officeDocument/2006/relationships/hyperlink" Target="https://www.sps.ed.ac.uk/staff/nason-maani" TargetMode="External"/><Relationship Id="rId27" Type="http://schemas.openxmlformats.org/officeDocument/2006/relationships/hyperlink" Target="https://staffportal.curtin.edu.au/staff/profile/view/mike-daube-15ab73b3/" TargetMode="External"/><Relationship Id="rId30" Type="http://schemas.openxmlformats.org/officeDocument/2006/relationships/hyperlink" Target="https://staffportal.curtin.edu.au/staff/profile/view/mike-daube-15ab73b3/" TargetMode="External"/><Relationship Id="rId35" Type="http://schemas.openxmlformats.org/officeDocument/2006/relationships/hyperlink" Target="https://staffportal.curtin.edu.au/staff/profile/view/mike-daube-15ab73b3/" TargetMode="External"/><Relationship Id="rId43" Type="http://schemas.openxmlformats.org/officeDocument/2006/relationships/hyperlink" Target="https://staffportal.curtin.edu.au/staff/profile/view/mike-daube-15ab73b3/" TargetMode="External"/><Relationship Id="rId48" Type="http://schemas.openxmlformats.org/officeDocument/2006/relationships/hyperlink" Target="https://ke.ncbagroup.com/our-board-of-directors/" TargetMode="External"/><Relationship Id="rId56" Type="http://schemas.openxmlformats.org/officeDocument/2006/relationships/hyperlink" Target="https://ke.ncbagroup.com/our-board-of-directors/" TargetMode="External"/><Relationship Id="rId64" Type="http://schemas.openxmlformats.org/officeDocument/2006/relationships/hyperlink" Target="https://doi.org/10.1186/s12966-016-0422-4" TargetMode="External"/><Relationship Id="rId69" Type="http://schemas.openxmlformats.org/officeDocument/2006/relationships/fontTable" Target="fontTable.xml"/><Relationship Id="rId8" Type="http://schemas.openxmlformats.org/officeDocument/2006/relationships/hyperlink" Target="https://www.sps.ed.ac.uk/staff/nason-maani" TargetMode="External"/><Relationship Id="rId51" Type="http://schemas.openxmlformats.org/officeDocument/2006/relationships/hyperlink" Target="https://ke.ncbagroup.com/our-board-of-directors/" TargetMode="External"/><Relationship Id="rId3" Type="http://schemas.openxmlformats.org/officeDocument/2006/relationships/styles" Target="styles.xml"/><Relationship Id="rId12" Type="http://schemas.openxmlformats.org/officeDocument/2006/relationships/hyperlink" Target="https://www.sps.ed.ac.uk/staff/nason-maani" TargetMode="External"/><Relationship Id="rId17" Type="http://schemas.openxmlformats.org/officeDocument/2006/relationships/hyperlink" Target="https://www.sps.ed.ac.uk/staff/nason-maani" TargetMode="External"/><Relationship Id="rId25" Type="http://schemas.openxmlformats.org/officeDocument/2006/relationships/hyperlink" Target="https://staffportal.curtin.edu.au/staff/profile/view/mike-daube-15ab73b3/" TargetMode="External"/><Relationship Id="rId33" Type="http://schemas.openxmlformats.org/officeDocument/2006/relationships/hyperlink" Target="https://staffportal.curtin.edu.au/staff/profile/view/mike-daube-15ab73b3/" TargetMode="External"/><Relationship Id="rId38" Type="http://schemas.openxmlformats.org/officeDocument/2006/relationships/hyperlink" Target="https://staffportal.curtin.edu.au/staff/profile/view/mike-daube-15ab73b3/" TargetMode="External"/><Relationship Id="rId46" Type="http://schemas.openxmlformats.org/officeDocument/2006/relationships/hyperlink" Target="https://ke.ncbagroup.com/our-board-of-directors/" TargetMode="External"/><Relationship Id="rId59" Type="http://schemas.openxmlformats.org/officeDocument/2006/relationships/hyperlink" Target="https://ke.ncbagroup.com/our-board-of-directors/" TargetMode="External"/><Relationship Id="rId67" Type="http://schemas.openxmlformats.org/officeDocument/2006/relationships/hyperlink" Target="https://blogs.bmj.com/bmj/2018/11/28/global-health-disruptors-the-rise-of-civil-society/" TargetMode="External"/><Relationship Id="rId20" Type="http://schemas.openxmlformats.org/officeDocument/2006/relationships/hyperlink" Target="https://www.sps.ed.ac.uk/staff/nason-maani" TargetMode="External"/><Relationship Id="rId41" Type="http://schemas.openxmlformats.org/officeDocument/2006/relationships/hyperlink" Target="https://staffportal.curtin.edu.au/staff/profile/view/mike-daube-15ab73b3/" TargetMode="External"/><Relationship Id="rId54" Type="http://schemas.openxmlformats.org/officeDocument/2006/relationships/hyperlink" Target="https://ke.ncbagroup.com/our-board-of-directors/" TargetMode="External"/><Relationship Id="rId62" Type="http://schemas.openxmlformats.org/officeDocument/2006/relationships/hyperlink" Target="https://doi.org/10.1002/wmh3.250" TargetMode="External"/><Relationship Id="rId70"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967E-E348-40FA-88C9-8F48EC92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5274</Words>
  <Characters>30066</Characters>
  <Application>Microsoft Office Word</Application>
  <DocSecurity>0</DocSecurity>
  <Lines>250</Lines>
  <Paragraphs>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pataraporn laowong</dc:creator>
  <cp:keywords/>
  <dc:description/>
  <cp:lastModifiedBy>Milin Sakornsin</cp:lastModifiedBy>
  <cp:revision>3</cp:revision>
  <cp:lastPrinted>2023-06-25T09:55:00Z</cp:lastPrinted>
  <dcterms:created xsi:type="dcterms:W3CDTF">2023-08-24T08:41:00Z</dcterms:created>
  <dcterms:modified xsi:type="dcterms:W3CDTF">2023-08-24T09:32:00Z</dcterms:modified>
</cp:coreProperties>
</file>